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2A" w:rsidRPr="00376A2F" w:rsidRDefault="001D382A" w:rsidP="001D382A">
      <w:pPr>
        <w:jc w:val="center"/>
        <w:rPr>
          <w:rFonts w:ascii="宋体" w:eastAsia="宋体" w:hAnsi="宋体"/>
          <w:b/>
          <w:color w:val="000000"/>
          <w:sz w:val="32"/>
          <w:szCs w:val="32"/>
        </w:rPr>
      </w:pPr>
    </w:p>
    <w:p w:rsidR="00A773F8" w:rsidRDefault="00A773F8" w:rsidP="00A773F8">
      <w:pPr>
        <w:jc w:val="center"/>
        <w:rPr>
          <w:rFonts w:ascii="宋体" w:eastAsia="宋体" w:hAnsi="宋体"/>
          <w:b/>
          <w:color w:val="000000"/>
          <w:sz w:val="72"/>
        </w:rPr>
      </w:pPr>
      <w:bookmarkStart w:id="0" w:name="_Toc29050102"/>
      <w:r>
        <w:rPr>
          <w:rFonts w:ascii="宋体" w:eastAsia="宋体" w:hAnsi="宋体"/>
          <w:b/>
          <w:color w:val="000000"/>
          <w:sz w:val="72"/>
        </w:rPr>
        <w:t>2020年唐山市部门绩效（草案）</w:t>
      </w:r>
    </w:p>
    <w:p w:rsidR="00A773F8" w:rsidRDefault="00A773F8" w:rsidP="00A773F8">
      <w:pPr>
        <w:jc w:val="center"/>
        <w:rPr>
          <w:rFonts w:ascii="宋体" w:eastAsia="宋体" w:hAnsi="宋体"/>
          <w:b/>
          <w:color w:val="000000"/>
          <w:sz w:val="72"/>
        </w:rPr>
      </w:pPr>
    </w:p>
    <w:p w:rsidR="00A773F8" w:rsidRDefault="00A773F8" w:rsidP="00A773F8">
      <w:pPr>
        <w:jc w:val="center"/>
        <w:rPr>
          <w:rFonts w:ascii="楷体" w:eastAsia="楷体" w:hAnsi="宋体"/>
          <w:b/>
          <w:color w:val="000000"/>
          <w:sz w:val="52"/>
        </w:rPr>
      </w:pPr>
      <w:r>
        <w:rPr>
          <w:rFonts w:ascii="楷体" w:eastAsia="楷体" w:hAnsi="宋体"/>
          <w:b/>
          <w:color w:val="000000"/>
          <w:sz w:val="52"/>
        </w:rPr>
        <w:t>唐山市人民防空办公室</w:t>
      </w:r>
    </w:p>
    <w:p w:rsidR="00A773F8" w:rsidRDefault="00A773F8" w:rsidP="00A773F8">
      <w:pPr>
        <w:jc w:val="center"/>
        <w:rPr>
          <w:rFonts w:ascii="楷体" w:eastAsia="楷体" w:hAnsi="宋体"/>
          <w:b/>
          <w:color w:val="000000"/>
          <w:sz w:val="52"/>
        </w:rPr>
      </w:pPr>
    </w:p>
    <w:p w:rsidR="00A773F8" w:rsidRDefault="00A773F8" w:rsidP="00A773F8">
      <w:pPr>
        <w:jc w:val="center"/>
        <w:rPr>
          <w:rFonts w:ascii="楷体" w:eastAsia="楷体" w:hAnsi="宋体"/>
          <w:b/>
          <w:color w:val="000000"/>
          <w:sz w:val="52"/>
        </w:rPr>
      </w:pPr>
    </w:p>
    <w:p w:rsidR="00A773F8" w:rsidRDefault="00A773F8" w:rsidP="00A773F8">
      <w:pPr>
        <w:jc w:val="center"/>
        <w:rPr>
          <w:rFonts w:ascii="楷体" w:eastAsia="楷体" w:hAnsi="宋体"/>
          <w:b/>
          <w:color w:val="000000"/>
          <w:sz w:val="52"/>
        </w:rPr>
      </w:pPr>
    </w:p>
    <w:p w:rsidR="00A773F8" w:rsidRDefault="00A773F8" w:rsidP="00A773F8">
      <w:pPr>
        <w:jc w:val="center"/>
        <w:rPr>
          <w:rFonts w:ascii="楷体" w:eastAsia="楷体" w:hAnsi="宋体"/>
          <w:b/>
          <w:color w:val="000000"/>
          <w:sz w:val="52"/>
        </w:rPr>
      </w:pPr>
    </w:p>
    <w:p w:rsidR="00A773F8" w:rsidRDefault="00A773F8" w:rsidP="00A773F8">
      <w:pPr>
        <w:jc w:val="center"/>
        <w:rPr>
          <w:rFonts w:ascii="楷体" w:eastAsia="楷体" w:hAnsi="宋体"/>
          <w:b/>
          <w:color w:val="000000"/>
          <w:sz w:val="52"/>
        </w:rPr>
      </w:pPr>
    </w:p>
    <w:p w:rsidR="00A773F8" w:rsidRDefault="00A773F8" w:rsidP="00A773F8">
      <w:pPr>
        <w:jc w:val="center"/>
        <w:rPr>
          <w:rFonts w:ascii="楷体" w:eastAsia="楷体" w:hAnsi="宋体"/>
          <w:b/>
          <w:color w:val="000000"/>
          <w:sz w:val="52"/>
        </w:rPr>
      </w:pPr>
    </w:p>
    <w:p w:rsidR="00A773F8" w:rsidRDefault="00A773F8" w:rsidP="00A773F8">
      <w:pPr>
        <w:jc w:val="center"/>
        <w:rPr>
          <w:rFonts w:ascii="楷体" w:eastAsia="楷体" w:hAnsi="宋体"/>
          <w:b/>
          <w:color w:val="000000"/>
          <w:sz w:val="52"/>
        </w:rPr>
      </w:pPr>
      <w:r>
        <w:rPr>
          <w:rFonts w:ascii="楷体" w:eastAsia="楷体" w:hAnsi="宋体"/>
          <w:b/>
          <w:color w:val="000000"/>
          <w:sz w:val="52"/>
        </w:rPr>
        <w:t>唐山市人民防空办公室编制</w:t>
      </w:r>
    </w:p>
    <w:p w:rsidR="00A773F8" w:rsidRDefault="00A773F8" w:rsidP="00A773F8">
      <w:pPr>
        <w:jc w:val="center"/>
        <w:rPr>
          <w:rFonts w:ascii="楷体" w:eastAsia="楷体" w:hAnsi="宋体"/>
          <w:b/>
          <w:color w:val="000000"/>
          <w:sz w:val="52"/>
        </w:rPr>
        <w:sectPr w:rsidR="00A773F8" w:rsidSect="001D382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楷体" w:eastAsia="楷体" w:hAnsi="宋体"/>
          <w:b/>
          <w:color w:val="000000"/>
          <w:sz w:val="52"/>
        </w:rPr>
        <w:t>唐山市财政局审核</w:t>
      </w:r>
    </w:p>
    <w:p w:rsidR="00A773F8" w:rsidRPr="001D382A" w:rsidRDefault="00A773F8" w:rsidP="00A773F8">
      <w:pPr>
        <w:jc w:val="center"/>
        <w:rPr>
          <w:rFonts w:ascii="宋体" w:eastAsia="宋体" w:hAnsi="宋体"/>
          <w:b/>
          <w:noProof/>
          <w:color w:val="000000"/>
          <w:sz w:val="32"/>
        </w:rPr>
      </w:pPr>
      <w:r w:rsidRPr="001D382A">
        <w:rPr>
          <w:rFonts w:ascii="宋体" w:eastAsia="宋体" w:hAnsi="宋体"/>
          <w:b/>
          <w:color w:val="000000"/>
          <w:sz w:val="32"/>
        </w:rPr>
        <w:lastRenderedPageBreak/>
        <w:t>目 录</w:t>
      </w:r>
      <w:r w:rsidRPr="001D382A">
        <w:rPr>
          <w:rFonts w:ascii="宋体" w:eastAsia="宋体" w:hAnsi="宋体"/>
          <w:b/>
          <w:color w:val="000000"/>
          <w:sz w:val="32"/>
        </w:rPr>
        <w:fldChar w:fldCharType="begin"/>
      </w:r>
      <w:r w:rsidRPr="001D382A">
        <w:rPr>
          <w:rFonts w:ascii="宋体" w:eastAsia="宋体" w:hAnsi="宋体"/>
          <w:b/>
          <w:color w:val="000000"/>
          <w:sz w:val="32"/>
        </w:rPr>
        <w:instrText xml:space="preserve"> TOC \o "1-3" \h \u </w:instrText>
      </w:r>
      <w:r w:rsidRPr="001D382A">
        <w:rPr>
          <w:rFonts w:ascii="宋体" w:eastAsia="宋体" w:hAnsi="宋体"/>
          <w:b/>
          <w:color w:val="000000"/>
          <w:sz w:val="32"/>
        </w:rPr>
        <w:fldChar w:fldCharType="separate"/>
      </w:r>
    </w:p>
    <w:p w:rsidR="00A773F8" w:rsidRPr="001D382A" w:rsidRDefault="00A773F8" w:rsidP="00A773F8">
      <w:pPr>
        <w:pStyle w:val="10"/>
        <w:tabs>
          <w:tab w:val="right" w:leader="dot" w:pos="8296"/>
        </w:tabs>
        <w:rPr>
          <w:rFonts w:ascii="宋体" w:eastAsia="宋体" w:hAnsi="宋体"/>
          <w:b/>
          <w:noProof/>
          <w:color w:val="000000"/>
          <w:sz w:val="32"/>
        </w:rPr>
      </w:pPr>
      <w:hyperlink w:anchor="_Toc29050102" w:history="1">
        <w:r w:rsidRPr="001D382A">
          <w:rPr>
            <w:rStyle w:val="a3"/>
            <w:rFonts w:ascii="宋体" w:eastAsia="宋体" w:hAnsi="宋体" w:hint="eastAsia"/>
            <w:b/>
            <w:noProof/>
            <w:color w:val="000000"/>
            <w:sz w:val="32"/>
            <w:u w:val="none"/>
          </w:rPr>
          <w:t>部门总体绩效目标及保障措施</w:t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tab/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fldChar w:fldCharType="begin"/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instrText xml:space="preserve"> PAGEREF _Toc29050102 \h </w:instrText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fldChar w:fldCharType="separate"/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t>1</w:t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fldChar w:fldCharType="end"/>
        </w:r>
      </w:hyperlink>
    </w:p>
    <w:p w:rsidR="00A773F8" w:rsidRPr="001D382A" w:rsidRDefault="00A773F8" w:rsidP="00A773F8">
      <w:pPr>
        <w:pStyle w:val="10"/>
        <w:tabs>
          <w:tab w:val="right" w:leader="dot" w:pos="8296"/>
        </w:tabs>
        <w:rPr>
          <w:rFonts w:ascii="宋体" w:eastAsia="宋体" w:hAnsi="宋体"/>
          <w:b/>
          <w:noProof/>
          <w:color w:val="000000"/>
          <w:sz w:val="32"/>
        </w:rPr>
      </w:pPr>
      <w:hyperlink w:anchor="_Toc29050103" w:history="1">
        <w:r w:rsidRPr="001D382A">
          <w:rPr>
            <w:rStyle w:val="a3"/>
            <w:rFonts w:ascii="宋体" w:eastAsia="宋体" w:hAnsi="宋体" w:hint="eastAsia"/>
            <w:b/>
            <w:noProof/>
            <w:color w:val="000000"/>
            <w:sz w:val="32"/>
            <w:u w:val="none"/>
          </w:rPr>
          <w:t>预算项目绩效表</w:t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tab/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fldChar w:fldCharType="begin"/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instrText xml:space="preserve"> PAGEREF _Toc29050103 \h </w:instrText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fldChar w:fldCharType="separate"/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t>4</w:t>
        </w:r>
        <w:r w:rsidRPr="001D382A">
          <w:rPr>
            <w:rFonts w:ascii="宋体" w:eastAsia="宋体" w:hAnsi="宋体"/>
            <w:b/>
            <w:noProof/>
            <w:color w:val="000000"/>
            <w:sz w:val="32"/>
          </w:rPr>
          <w:fldChar w:fldCharType="end"/>
        </w:r>
      </w:hyperlink>
    </w:p>
    <w:p w:rsidR="00A773F8" w:rsidRDefault="00A773F8" w:rsidP="00A773F8">
      <w:pPr>
        <w:jc w:val="center"/>
        <w:rPr>
          <w:rFonts w:ascii="楷体" w:eastAsia="楷体" w:hAnsi="宋体"/>
          <w:b/>
          <w:color w:val="000000"/>
          <w:sz w:val="52"/>
        </w:rPr>
        <w:sectPr w:rsidR="00A773F8" w:rsidSect="001D382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1D382A">
        <w:rPr>
          <w:rFonts w:ascii="宋体" w:eastAsia="宋体" w:hAnsi="宋体"/>
          <w:b/>
          <w:color w:val="000000"/>
          <w:sz w:val="32"/>
        </w:rPr>
        <w:fldChar w:fldCharType="end"/>
      </w:r>
    </w:p>
    <w:p w:rsidR="001D382A" w:rsidRPr="002D1370" w:rsidRDefault="001D382A" w:rsidP="001D382A">
      <w:pPr>
        <w:pStyle w:val="1"/>
        <w:jc w:val="center"/>
      </w:pPr>
      <w:r w:rsidRPr="002D1370">
        <w:lastRenderedPageBreak/>
        <w:t>部门总体绩效目标及保障措施</w:t>
      </w:r>
      <w:bookmarkEnd w:id="0"/>
    </w:p>
    <w:p w:rsidR="001D382A" w:rsidRPr="00376A2F" w:rsidRDefault="001D382A" w:rsidP="001D382A">
      <w:pPr>
        <w:jc w:val="left"/>
        <w:rPr>
          <w:rFonts w:ascii="宋体" w:eastAsia="宋体" w:hAnsi="宋体"/>
          <w:b/>
          <w:color w:val="000000"/>
          <w:sz w:val="32"/>
          <w:szCs w:val="32"/>
        </w:rPr>
      </w:pPr>
      <w:r w:rsidRPr="00376A2F">
        <w:rPr>
          <w:rFonts w:ascii="宋体" w:eastAsia="宋体" w:hAnsi="宋体"/>
          <w:b/>
          <w:color w:val="000000"/>
          <w:sz w:val="32"/>
          <w:szCs w:val="32"/>
        </w:rPr>
        <w:t>一、部门总体绩效目标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1、坚持知行合一、以知促行，抓好中央《决定》（中发〔2014〕15号）的宣传贯彻系统学习《决定》。</w:t>
      </w:r>
    </w:p>
    <w:p w:rsidR="001D382A" w:rsidRPr="00376A2F" w:rsidRDefault="001D382A" w:rsidP="00376A2F">
      <w:pPr>
        <w:widowControl/>
        <w:autoSpaceDN w:val="0"/>
        <w:spacing w:line="360" w:lineRule="auto"/>
        <w:ind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（1）起草贯彻办法。</w:t>
      </w:r>
    </w:p>
    <w:p w:rsidR="001D382A" w:rsidRPr="00376A2F" w:rsidRDefault="001D382A" w:rsidP="00376A2F">
      <w:pPr>
        <w:widowControl/>
        <w:autoSpaceDN w:val="0"/>
        <w:spacing w:line="360" w:lineRule="auto"/>
        <w:ind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（2）开展课题研究。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color w:val="000000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color w:val="000000"/>
          <w:kern w:val="0"/>
          <w:sz w:val="32"/>
          <w:szCs w:val="32"/>
        </w:rPr>
        <w:t>2、坚持求实效、突创新，科学编制“十</w:t>
      </w:r>
      <w:r w:rsidR="00CB5115" w:rsidRPr="00376A2F">
        <w:rPr>
          <w:rFonts w:ascii="宋体" w:eastAsia="宋体" w:hAnsi="宋体" w:cs="Times New Roman" w:hint="eastAsia"/>
          <w:color w:val="000000"/>
          <w:kern w:val="0"/>
          <w:sz w:val="32"/>
          <w:szCs w:val="32"/>
        </w:rPr>
        <w:t>四</w:t>
      </w:r>
      <w:r w:rsidRPr="00376A2F">
        <w:rPr>
          <w:rFonts w:ascii="宋体" w:eastAsia="宋体" w:hAnsi="宋体" w:cs="Times New Roman" w:hint="eastAsia"/>
          <w:color w:val="000000"/>
          <w:kern w:val="0"/>
          <w:sz w:val="32"/>
          <w:szCs w:val="32"/>
        </w:rPr>
        <w:t>五”人防建设发展路线图。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3、坚持抓规范、促增长，全力完成人防工程建设“十</w:t>
      </w:r>
      <w:r w:rsidR="00CB5115" w:rsidRPr="00376A2F">
        <w:rPr>
          <w:rFonts w:ascii="宋体" w:eastAsia="宋体" w:hAnsi="宋体" w:cs="Times New Roman" w:hint="eastAsia"/>
          <w:kern w:val="0"/>
          <w:sz w:val="32"/>
          <w:szCs w:val="32"/>
        </w:rPr>
        <w:t>三</w:t>
      </w: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五”规划目标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（1）加强质量监督工作。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</w:t>
      </w:r>
      <w:r w:rsidR="00CB5115" w:rsidRPr="00376A2F">
        <w:rPr>
          <w:rFonts w:ascii="宋体" w:eastAsia="宋体" w:hAnsi="宋体" w:cs="Times New Roman" w:hint="eastAsia"/>
          <w:kern w:val="0"/>
          <w:sz w:val="32"/>
          <w:szCs w:val="32"/>
        </w:rPr>
        <w:t>2</w:t>
      </w: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）积极推动工程管理创新。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</w:t>
      </w:r>
      <w:r w:rsidR="00CB5115" w:rsidRPr="00376A2F">
        <w:rPr>
          <w:rFonts w:ascii="宋体" w:eastAsia="宋体" w:hAnsi="宋体" w:cs="Times New Roman" w:hint="eastAsia"/>
          <w:kern w:val="0"/>
          <w:sz w:val="32"/>
          <w:szCs w:val="32"/>
        </w:rPr>
        <w:t>3</w:t>
      </w: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）深化人防工程惠民专项行动成果。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4、坚持成体系、强能力，大力加强人防指挥通信建设。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（1）完善小型机动指挥通信系统建设。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（2）加强指挥控制系统建设。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（3）</w:t>
      </w:r>
      <w:r w:rsidR="00CB5115" w:rsidRPr="00376A2F">
        <w:rPr>
          <w:rFonts w:ascii="宋体" w:eastAsia="宋体" w:hAnsi="宋体" w:cs="Times New Roman" w:hint="eastAsia"/>
          <w:kern w:val="0"/>
          <w:sz w:val="32"/>
          <w:szCs w:val="32"/>
        </w:rPr>
        <w:t>完成应急拉动训练、演练任务</w:t>
      </w: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（4）建成地面应急指挥中心。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</w:t>
      </w:r>
      <w:r w:rsidR="00CB5115" w:rsidRPr="00376A2F">
        <w:rPr>
          <w:rFonts w:ascii="宋体" w:eastAsia="宋体" w:hAnsi="宋体" w:cs="Times New Roman" w:hint="eastAsia"/>
          <w:kern w:val="0"/>
          <w:sz w:val="32"/>
          <w:szCs w:val="32"/>
        </w:rPr>
        <w:t>5</w:t>
      </w: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）加强预警报警体系建设。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</w:t>
      </w:r>
      <w:r w:rsidR="00CB5115" w:rsidRPr="00376A2F">
        <w:rPr>
          <w:rFonts w:ascii="宋体" w:eastAsia="宋体" w:hAnsi="宋体" w:cs="Times New Roman" w:hint="eastAsia"/>
          <w:kern w:val="0"/>
          <w:sz w:val="32"/>
          <w:szCs w:val="32"/>
        </w:rPr>
        <w:t>6</w:t>
      </w: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）加强应急能力建设。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lastRenderedPageBreak/>
        <w:t>5、坚持抓质量、出效果，不断提升人防建设新价值、新形象。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（1）抓好宣教基地。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（2）拓展“五进”成果。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（3）用活宣教传媒。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6、坚持浓氛围、强执法，大力提升人防依法行政能力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（1）抓好宣传贯彻。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（2）强化执法人员经验交流。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（3）认真搞好权力和责任事项清理工作。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（4）加强执法检查监督。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7、坚持抓统筹、强保障，努力提升人防筹资理财水平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（1）严格落实系统管理、专款专用制度。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（2）做好迎接省人防办财务检查、资产检查的准备工作。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（3）严格执行政府采购政策。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（4）加强对市本级“</w:t>
      </w:r>
      <w:r w:rsidR="00CB5115" w:rsidRPr="00376A2F">
        <w:rPr>
          <w:rFonts w:ascii="宋体" w:eastAsia="宋体" w:hAnsi="宋体" w:cs="Times New Roman" w:hint="eastAsia"/>
          <w:kern w:val="0"/>
          <w:sz w:val="32"/>
          <w:szCs w:val="32"/>
        </w:rPr>
        <w:t>早期人防工程治理</w:t>
      </w: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”和“</w:t>
      </w:r>
      <w:r w:rsidR="00CB5115" w:rsidRPr="00376A2F">
        <w:rPr>
          <w:rFonts w:ascii="宋体" w:eastAsia="宋体" w:hAnsi="宋体" w:cs="Times New Roman" w:hint="eastAsia"/>
          <w:kern w:val="0"/>
          <w:sz w:val="32"/>
          <w:szCs w:val="32"/>
        </w:rPr>
        <w:t>921</w:t>
      </w: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”</w:t>
      </w:r>
      <w:r w:rsidR="00CB5115" w:rsidRPr="00376A2F">
        <w:rPr>
          <w:rFonts w:ascii="宋体" w:eastAsia="宋体" w:hAnsi="宋体" w:cs="Times New Roman" w:hint="eastAsia"/>
          <w:kern w:val="0"/>
          <w:sz w:val="32"/>
          <w:szCs w:val="32"/>
        </w:rPr>
        <w:t>改造提升</w:t>
      </w: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两个项目的监管。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（5）突出保障重点工作。</w:t>
      </w:r>
    </w:p>
    <w:p w:rsidR="001D382A" w:rsidRPr="00376A2F" w:rsidRDefault="001D382A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（6）建立内部审计机制。</w:t>
      </w:r>
    </w:p>
    <w:p w:rsidR="001D382A" w:rsidRPr="00376A2F" w:rsidRDefault="001D382A" w:rsidP="001D382A">
      <w:pPr>
        <w:jc w:val="left"/>
        <w:rPr>
          <w:rFonts w:ascii="宋体" w:eastAsia="宋体" w:hAnsi="宋体"/>
          <w:b/>
          <w:color w:val="000000"/>
          <w:sz w:val="32"/>
          <w:szCs w:val="32"/>
        </w:rPr>
      </w:pPr>
      <w:r w:rsidRPr="00376A2F">
        <w:rPr>
          <w:rFonts w:ascii="宋体" w:eastAsia="宋体" w:hAnsi="宋体"/>
          <w:b/>
          <w:color w:val="000000"/>
          <w:sz w:val="32"/>
          <w:szCs w:val="32"/>
        </w:rPr>
        <w:t>二、目标规划及保障措施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1、坚持知行合一、以知促行，抓好中央《决定》（中发〔2014〕15号）的宣传贯彻系统学习《决定》。</w:t>
      </w:r>
    </w:p>
    <w:p w:rsidR="00CB5115" w:rsidRPr="00376A2F" w:rsidRDefault="00CB5115" w:rsidP="00376A2F">
      <w:pPr>
        <w:widowControl/>
        <w:autoSpaceDN w:val="0"/>
        <w:spacing w:line="360" w:lineRule="auto"/>
        <w:ind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lastRenderedPageBreak/>
        <w:t>（1）起草贯彻办法。</w:t>
      </w:r>
    </w:p>
    <w:p w:rsidR="00CB5115" w:rsidRPr="00376A2F" w:rsidRDefault="00CB5115" w:rsidP="00376A2F">
      <w:pPr>
        <w:widowControl/>
        <w:autoSpaceDN w:val="0"/>
        <w:spacing w:line="360" w:lineRule="auto"/>
        <w:ind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（2）开展课题研究。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color w:val="000000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color w:val="000000"/>
          <w:kern w:val="0"/>
          <w:sz w:val="32"/>
          <w:szCs w:val="32"/>
        </w:rPr>
        <w:t>2、坚持求实效、突创新，科学编制“十四五”人防建设发展路线图。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3、坚持抓规范、促增长，全力完成人防工程建设“十三五”规划目标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（1）加强质量监督工作。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（2）积极推动工程管理创新。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（3）深化人防工程惠民专项行动成果。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4、坚持成体系、强能力，大力加强人防指挥通信建设。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（1）完善小型机动指挥通信系统建设。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（2）加强指挥控制系统建设。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（3）完成应急拉动训练、演练任务。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（4）建成地面应急指挥中心。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（5）加强预警报警体系建设。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（6）加强应急能力建设。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5、坚持抓质量、出效果，不断提升人防建设新价值、新形象。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（1）抓好宣教基地。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（2）拓展“五进”成果。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（3）用活宣教传媒。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6、坚持浓氛围、强执法，大力提升人防依法行政能力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lastRenderedPageBreak/>
        <w:t>（1）抓好宣传贯彻。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（2）强化执法人员经验交流。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（3）认真搞好权力和责任事项清理工作。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（4）加强执法检查监督。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7、坚持抓统筹、强保障，努力提升人防筹资理财水平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（1）严格落实系统管理、专款专用制度。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（2）做好迎接省人防办财务检查、资产检查的准备工作。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（3）严格执行政府采购政策。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（4）加强对市本级“早期人防工程治理”和“921”改造提升两个项目的监管。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kern w:val="0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（5）突出保障重点工作。</w:t>
      </w:r>
    </w:p>
    <w:p w:rsidR="00CB5115" w:rsidRPr="00376A2F" w:rsidRDefault="00CB5115" w:rsidP="00376A2F">
      <w:pPr>
        <w:widowControl/>
        <w:autoSpaceDN w:val="0"/>
        <w:spacing w:line="360" w:lineRule="auto"/>
        <w:ind w:right="105" w:firstLineChars="200" w:firstLine="640"/>
        <w:rPr>
          <w:rFonts w:ascii="宋体" w:eastAsia="宋体" w:hAnsi="宋体" w:cs="Times New Roman"/>
          <w:sz w:val="32"/>
          <w:szCs w:val="32"/>
        </w:rPr>
      </w:pPr>
      <w:r w:rsidRPr="00376A2F">
        <w:rPr>
          <w:rFonts w:ascii="宋体" w:eastAsia="宋体" w:hAnsi="宋体" w:cs="Times New Roman" w:hint="eastAsia"/>
          <w:kern w:val="0"/>
          <w:sz w:val="32"/>
          <w:szCs w:val="32"/>
        </w:rPr>
        <w:t>（6）建立内部审计机制。</w:t>
      </w:r>
    </w:p>
    <w:p w:rsidR="001D382A" w:rsidRPr="003E0DF5" w:rsidRDefault="001D382A">
      <w:pPr>
        <w:widowControl/>
        <w:jc w:val="left"/>
        <w:rPr>
          <w:rFonts w:ascii="宋体" w:eastAsia="宋体" w:hAnsi="宋体"/>
          <w:b/>
          <w:color w:val="000000"/>
          <w:sz w:val="20"/>
          <w:szCs w:val="20"/>
        </w:rPr>
      </w:pPr>
      <w:r w:rsidRPr="003E0DF5">
        <w:rPr>
          <w:rFonts w:ascii="宋体" w:eastAsia="宋体" w:hAnsi="宋体"/>
          <w:b/>
          <w:color w:val="000000"/>
          <w:sz w:val="20"/>
          <w:szCs w:val="20"/>
        </w:rPr>
        <w:br w:type="page"/>
      </w:r>
    </w:p>
    <w:p w:rsidR="001D382A" w:rsidRPr="00376A2F" w:rsidRDefault="001D382A" w:rsidP="001D382A">
      <w:pPr>
        <w:pStyle w:val="1"/>
        <w:jc w:val="center"/>
        <w:rPr>
          <w:sz w:val="32"/>
          <w:szCs w:val="32"/>
        </w:rPr>
      </w:pPr>
      <w:bookmarkStart w:id="1" w:name="_Toc29050103"/>
      <w:r w:rsidRPr="00376A2F">
        <w:rPr>
          <w:sz w:val="32"/>
          <w:szCs w:val="32"/>
        </w:rPr>
        <w:lastRenderedPageBreak/>
        <w:t>预算项目绩效表</w:t>
      </w:r>
      <w:bookmarkEnd w:id="1"/>
    </w:p>
    <w:p w:rsidR="001D382A" w:rsidRPr="00376A2F" w:rsidRDefault="001D382A" w:rsidP="001D382A">
      <w:pPr>
        <w:spacing w:line="480" w:lineRule="auto"/>
        <w:jc w:val="left"/>
        <w:rPr>
          <w:rFonts w:ascii="宋体" w:eastAsia="宋体" w:hAnsi="宋体"/>
          <w:b/>
          <w:color w:val="000000"/>
          <w:sz w:val="32"/>
          <w:szCs w:val="32"/>
        </w:rPr>
      </w:pPr>
      <w:r w:rsidRPr="00376A2F">
        <w:rPr>
          <w:rFonts w:ascii="宋体" w:eastAsia="宋体" w:hAnsi="宋体"/>
          <w:b/>
          <w:color w:val="000000"/>
          <w:sz w:val="32"/>
          <w:szCs w:val="32"/>
        </w:rPr>
        <w:t>206002 唐山市人民防空办公室</w:t>
      </w:r>
    </w:p>
    <w:tbl>
      <w:tblPr>
        <w:tblW w:w="85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1276"/>
        <w:gridCol w:w="1417"/>
        <w:gridCol w:w="1560"/>
        <w:gridCol w:w="1559"/>
        <w:gridCol w:w="1417"/>
      </w:tblGrid>
      <w:tr w:rsidR="001D382A" w:rsidRPr="003E0DF5" w:rsidTr="00CB5115">
        <w:trPr>
          <w:trHeight w:val="7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项目编码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206002B17DX0001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购置人防指挥通信车并加改装</w:t>
            </w:r>
          </w:p>
        </w:tc>
      </w:tr>
      <w:tr w:rsidR="001D382A" w:rsidRPr="003E0DF5" w:rsidTr="00CB5115">
        <w:trPr>
          <w:trHeight w:val="9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项目资金主要用途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sz w:val="20"/>
                <w:szCs w:val="20"/>
              </w:rPr>
              <w:t>唐山市人民防空第二代人防机动指挥平台项目中标价</w:t>
            </w:r>
            <w:r w:rsidRPr="003E0DF5">
              <w:rPr>
                <w:rFonts w:ascii="宋体" w:eastAsia="宋体" w:hAnsi="宋体" w:cs="宋体"/>
                <w:sz w:val="20"/>
                <w:szCs w:val="20"/>
              </w:rPr>
              <w:t>908.0953万元，按照合同签订要求已支付60%，2020年需支付至合同总价款的95%（支付35%），需支付</w:t>
            </w:r>
            <w:r w:rsidR="00CB5115" w:rsidRPr="003E0DF5">
              <w:rPr>
                <w:rFonts w:ascii="宋体" w:eastAsia="宋体" w:hAnsi="宋体" w:cs="宋体" w:hint="eastAsia"/>
                <w:sz w:val="20"/>
                <w:szCs w:val="20"/>
              </w:rPr>
              <w:t>263</w:t>
            </w:r>
            <w:r w:rsidRPr="003E0DF5">
              <w:rPr>
                <w:rFonts w:ascii="宋体" w:eastAsia="宋体" w:hAnsi="宋体" w:cs="宋体"/>
                <w:sz w:val="20"/>
                <w:szCs w:val="20"/>
              </w:rPr>
              <w:t>万元。</w:t>
            </w:r>
          </w:p>
        </w:tc>
      </w:tr>
      <w:tr w:rsidR="001D382A" w:rsidRPr="003E0DF5" w:rsidTr="00CB5115">
        <w:trPr>
          <w:trHeight w:val="401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资金支出计划(累计进度%)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第一季度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第二季度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第三季度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第四季度</w:t>
            </w:r>
          </w:p>
        </w:tc>
      </w:tr>
      <w:tr w:rsidR="001D382A" w:rsidRPr="003E0DF5" w:rsidTr="00CB5115">
        <w:trPr>
          <w:trHeight w:val="376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0.00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CB5115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</w:t>
            </w:r>
          </w:p>
        </w:tc>
      </w:tr>
      <w:tr w:rsidR="001D382A" w:rsidRPr="003E0DF5" w:rsidTr="00CB5115">
        <w:trPr>
          <w:trHeight w:val="84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机动指挥平台到位，按合同支付。</w:t>
            </w:r>
          </w:p>
        </w:tc>
      </w:tr>
      <w:tr w:rsidR="001D382A" w:rsidRPr="003E0DF5" w:rsidTr="00CB5115">
        <w:trPr>
          <w:trHeight w:val="6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绩效指标描述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指标值确定依据</w:t>
            </w:r>
          </w:p>
        </w:tc>
      </w:tr>
      <w:tr w:rsidR="001D382A" w:rsidRPr="003E0DF5" w:rsidTr="00CB5115">
        <w:trPr>
          <w:trHeight w:val="709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新增机动指挥平台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新增机动指挥平台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年度工作安排</w:t>
            </w:r>
          </w:p>
        </w:tc>
      </w:tr>
      <w:tr w:rsidR="001D382A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年度工作计划和上级有关要求</w:t>
            </w:r>
          </w:p>
        </w:tc>
      </w:tr>
      <w:tr w:rsidR="001D382A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2020年12月前完成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年都工作安排</w:t>
            </w:r>
          </w:p>
        </w:tc>
      </w:tr>
      <w:tr w:rsidR="001D382A" w:rsidRPr="003E0DF5" w:rsidTr="00CB5115">
        <w:trPr>
          <w:trHeight w:val="672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预算资金完成率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预算资金完成率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年度工作安排</w:t>
            </w:r>
          </w:p>
        </w:tc>
      </w:tr>
      <w:tr w:rsidR="001D382A" w:rsidRPr="003E0DF5" w:rsidTr="00CB5115">
        <w:trPr>
          <w:trHeight w:val="65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67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为人防指挥通信提供有力保障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为人防指挥通信提供有力保障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为人防指挥通信提供有力保障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为人防指挥通信提供有力保障</w:t>
            </w:r>
          </w:p>
        </w:tc>
      </w:tr>
      <w:tr w:rsidR="001D382A" w:rsidRPr="003E0DF5" w:rsidTr="00CB5115">
        <w:trPr>
          <w:trHeight w:val="727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63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10年</w:t>
            </w:r>
          </w:p>
        </w:tc>
      </w:tr>
      <w:tr w:rsidR="001D382A" w:rsidRPr="003E0DF5" w:rsidTr="00CB5115">
        <w:trPr>
          <w:trHeight w:val="79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使用满意度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使用满意度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</w:tbl>
    <w:p w:rsidR="001D382A" w:rsidRPr="003E0DF5" w:rsidRDefault="001D382A" w:rsidP="00CB5115">
      <w:pPr>
        <w:rPr>
          <w:sz w:val="20"/>
          <w:szCs w:val="20"/>
        </w:rPr>
        <w:sectPr w:rsidR="001D382A" w:rsidRPr="003E0DF5" w:rsidSect="001D382A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1D382A" w:rsidRPr="003E0DF5" w:rsidRDefault="001D382A" w:rsidP="00CB5115">
      <w:pPr>
        <w:rPr>
          <w:sz w:val="20"/>
          <w:szCs w:val="20"/>
        </w:rPr>
      </w:pPr>
    </w:p>
    <w:tbl>
      <w:tblPr>
        <w:tblW w:w="85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1276"/>
        <w:gridCol w:w="1417"/>
        <w:gridCol w:w="1560"/>
        <w:gridCol w:w="1559"/>
        <w:gridCol w:w="1417"/>
      </w:tblGrid>
      <w:tr w:rsidR="001D382A" w:rsidRPr="003E0DF5" w:rsidTr="00CB5115">
        <w:trPr>
          <w:trHeight w:val="7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项目编码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206002B20DX0001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唐山市第九中学操场地下人防工程项目</w:t>
            </w:r>
          </w:p>
        </w:tc>
      </w:tr>
      <w:tr w:rsidR="001D382A" w:rsidRPr="003E0DF5" w:rsidTr="00CB5115">
        <w:trPr>
          <w:trHeight w:val="9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项目资金主要用途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sz w:val="20"/>
                <w:szCs w:val="20"/>
              </w:rPr>
              <w:t>预算数</w:t>
            </w:r>
            <w:r w:rsidRPr="003E0DF5">
              <w:rPr>
                <w:rFonts w:ascii="宋体" w:eastAsia="宋体" w:hAnsi="宋体" w:cs="宋体"/>
                <w:sz w:val="20"/>
                <w:szCs w:val="20"/>
              </w:rPr>
              <w:t>400万，其中：非税收入400万。主要用于主体工程尾款和该项目10KV配电工程施工尾款。</w:t>
            </w:r>
          </w:p>
        </w:tc>
      </w:tr>
      <w:tr w:rsidR="001D382A" w:rsidRPr="003E0DF5" w:rsidTr="00CB5115">
        <w:trPr>
          <w:trHeight w:val="401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资金支出计划(累计进度%)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第一季度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第二季度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第三季度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第四季度</w:t>
            </w:r>
          </w:p>
        </w:tc>
      </w:tr>
      <w:tr w:rsidR="001D382A" w:rsidRPr="003E0DF5" w:rsidTr="00CB5115">
        <w:trPr>
          <w:trHeight w:val="376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0.00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75.00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</w:tr>
      <w:tr w:rsidR="001D382A" w:rsidRPr="003E0DF5" w:rsidTr="00CB5115">
        <w:trPr>
          <w:trHeight w:val="84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战时用于人员与物资掩蔽，平时参与地方经济建设。</w:t>
            </w:r>
          </w:p>
        </w:tc>
      </w:tr>
      <w:tr w:rsidR="001D382A" w:rsidRPr="003E0DF5" w:rsidTr="00CB5115">
        <w:trPr>
          <w:trHeight w:val="6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绩效指标描述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指标值确定依据</w:t>
            </w:r>
          </w:p>
        </w:tc>
      </w:tr>
      <w:tr w:rsidR="001D382A" w:rsidRPr="003E0DF5" w:rsidTr="00CB5115">
        <w:trPr>
          <w:trHeight w:val="709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增加人防面积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19119平方米，掩蔽物资29000立方米。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增加人防面积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19119平方米，掩蔽物资29000立方米。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19119平方米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根据年度工作安排。</w:t>
            </w:r>
          </w:p>
        </w:tc>
      </w:tr>
      <w:tr w:rsidR="001D382A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常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5核5人员掩蔽部、常6核6人防物资库；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根据年度工作安排</w:t>
            </w:r>
          </w:p>
        </w:tc>
      </w:tr>
      <w:tr w:rsidR="001D382A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2020年12月底前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根据年初工作安排</w:t>
            </w:r>
          </w:p>
        </w:tc>
      </w:tr>
      <w:tr w:rsidR="001D382A" w:rsidRPr="003E0DF5" w:rsidTr="00CB5115">
        <w:trPr>
          <w:trHeight w:val="672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预算资金完成率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预算资金完成率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根据年初工作安排</w:t>
            </w:r>
          </w:p>
        </w:tc>
      </w:tr>
      <w:tr w:rsidR="001D382A" w:rsidRPr="003E0DF5" w:rsidTr="00CB5115">
        <w:trPr>
          <w:trHeight w:val="65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67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727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63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79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填补路南区单建式人防工程空白；解决唐山市第九中学接送家长孩子停车难的问题；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填补路南区单建式人防工程空白；解决唐山市第九中学接送家长孩子停车难的问题；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根据年初工作安排</w:t>
            </w:r>
          </w:p>
        </w:tc>
      </w:tr>
    </w:tbl>
    <w:p w:rsidR="001D382A" w:rsidRPr="003E0DF5" w:rsidRDefault="001D382A" w:rsidP="00CB5115">
      <w:pPr>
        <w:rPr>
          <w:sz w:val="20"/>
          <w:szCs w:val="20"/>
        </w:rPr>
        <w:sectPr w:rsidR="001D382A" w:rsidRPr="003E0DF5" w:rsidSect="001D382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D382A" w:rsidRPr="003E0DF5" w:rsidRDefault="001D382A" w:rsidP="00CB5115">
      <w:pPr>
        <w:rPr>
          <w:sz w:val="20"/>
          <w:szCs w:val="20"/>
        </w:rPr>
      </w:pPr>
    </w:p>
    <w:tbl>
      <w:tblPr>
        <w:tblW w:w="85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992"/>
        <w:gridCol w:w="1701"/>
        <w:gridCol w:w="426"/>
        <w:gridCol w:w="1134"/>
        <w:gridCol w:w="425"/>
        <w:gridCol w:w="1134"/>
        <w:gridCol w:w="1417"/>
      </w:tblGrid>
      <w:tr w:rsidR="001D382A" w:rsidRPr="003E0DF5" w:rsidTr="00CB5115">
        <w:trPr>
          <w:trHeight w:val="7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项目编码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206002B20DX0002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人防工程规划</w:t>
            </w:r>
          </w:p>
        </w:tc>
      </w:tr>
      <w:tr w:rsidR="001D382A" w:rsidRPr="003E0DF5" w:rsidTr="00CB5115">
        <w:trPr>
          <w:trHeight w:val="9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项目资金主要用途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sz w:val="20"/>
                <w:szCs w:val="20"/>
              </w:rPr>
              <w:t>预算数为</w:t>
            </w:r>
            <w:r w:rsidRPr="003E0DF5">
              <w:rPr>
                <w:rFonts w:ascii="宋体" w:eastAsia="宋体" w:hAnsi="宋体" w:cs="宋体"/>
                <w:sz w:val="20"/>
                <w:szCs w:val="20"/>
              </w:rPr>
              <w:t>1</w:t>
            </w:r>
            <w:r w:rsidR="00CB5115" w:rsidRPr="003E0DF5">
              <w:rPr>
                <w:rFonts w:ascii="宋体" w:eastAsia="宋体" w:hAnsi="宋体" w:cs="宋体" w:hint="eastAsia"/>
                <w:sz w:val="20"/>
                <w:szCs w:val="20"/>
              </w:rPr>
              <w:t>0</w:t>
            </w:r>
            <w:r w:rsidRPr="003E0DF5">
              <w:rPr>
                <w:rFonts w:ascii="宋体" w:eastAsia="宋体" w:hAnsi="宋体" w:cs="宋体"/>
                <w:sz w:val="20"/>
                <w:szCs w:val="20"/>
              </w:rPr>
              <w:t>0万，其中非税收入1</w:t>
            </w:r>
            <w:r w:rsidR="00CB5115" w:rsidRPr="003E0DF5">
              <w:rPr>
                <w:rFonts w:ascii="宋体" w:eastAsia="宋体" w:hAnsi="宋体" w:cs="宋体" w:hint="eastAsia"/>
                <w:sz w:val="20"/>
                <w:szCs w:val="20"/>
              </w:rPr>
              <w:t>0</w:t>
            </w:r>
            <w:r w:rsidRPr="003E0DF5">
              <w:rPr>
                <w:rFonts w:ascii="宋体" w:eastAsia="宋体" w:hAnsi="宋体" w:cs="宋体"/>
                <w:sz w:val="20"/>
                <w:szCs w:val="20"/>
              </w:rPr>
              <w:t>0万。目主要用于按照唐山市城市总体规划（2020-2035）（正在编写），同步编写人防工程规划。</w:t>
            </w:r>
          </w:p>
        </w:tc>
      </w:tr>
      <w:tr w:rsidR="001D382A" w:rsidRPr="003E0DF5" w:rsidTr="00CB5115">
        <w:trPr>
          <w:trHeight w:val="401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资金支出计划(累计进度%)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第一季度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第二季度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第三季度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第四季度</w:t>
            </w:r>
          </w:p>
        </w:tc>
      </w:tr>
      <w:tr w:rsidR="001D382A" w:rsidRPr="003E0DF5" w:rsidTr="00CB5115">
        <w:trPr>
          <w:trHeight w:val="376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0.00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</w:tr>
      <w:tr w:rsidR="001D382A" w:rsidRPr="003E0DF5" w:rsidTr="00CB5115">
        <w:trPr>
          <w:trHeight w:val="84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CB5115" w:rsidP="003E0DF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1D382A"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民防空工程规划是指在一个城市内，根据国家对不同城市实行分类防护的人民防空要求，确定城市人民防空工程建设的总体规模、布局、主要建设项目、与城市建设相结合的方案以及规划的实施步骤和措施的综合部署，是城市总体规划的组成部分，是进行人民防空工程建设的依据。人防工程规划是与城市总体规划配套的专业性规划，通常是城市防灾规划的一个重要部分。经批准后，它是城市建设和管理的一个法规性文件。人防工程是落实城市防空袭预案的一个重要文件。防空袭预案中有关工程保障的要求，通过贯彻、执行人防工程规划而得以实现。城市人防工程总体规划文件及主要图纸。总体规划文件包括规划文本和规划附件。规划附件包括规划说明和规划基础资料等。规划文本是对规划的各项目标、内容提出规定性要求的文件，规划说明是对规划文本的具体解释。总体规划图纸包括：城市区位与威胁环境分析图、城市防护片区划分图、重要目标分布图、人口疏散规划图、人防工程现状图、市域城镇人防工程控制体系规划图、中心城区人防工程总体规划图、中心城区各类人防工程规划图、中心城区重点人防工程规划图、中心城区近期人防工程建设规划图、城市地下空间兼顾人民防空要求规划图等。图纸比例尺：大、中城市为</w:t>
            </w:r>
            <w:r w:rsidR="001D382A"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/10000－1/25000，小城市为1/5000－1/10000。城市人防工程控制性详细规划的文件和图纸。控制性详细规划文件包括规划文本和规划附件。规划应当包括规划管理的有关规定。规划附件包括规划说明和基础资料等。控制性详细规划图纸包括总图图则和分图图则，主要包括规划地区现状图、防护街区和防护节点划分图、人防工程土地使用控制图、单建式人防工程控制引导图、结建工程控制引导图、人防工程与地下空间开发利用相结合控制引导图等。图纸比例尺为：1/1000－1/2000。</w:t>
            </w:r>
          </w:p>
        </w:tc>
      </w:tr>
      <w:tr w:rsidR="001D382A" w:rsidRPr="003E0DF5" w:rsidTr="003E0DF5">
        <w:trPr>
          <w:trHeight w:val="6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绩效指标描述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指标值确定依据</w:t>
            </w:r>
          </w:p>
        </w:tc>
      </w:tr>
      <w:tr w:rsidR="001D382A" w:rsidRPr="003E0DF5" w:rsidTr="003E0DF5">
        <w:trPr>
          <w:trHeight w:val="709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3E0DF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体规划文件包括：规划文本和规划附件；总体规划图纸包括：城市区位与威胁环境分析图、城市防护片区划分图、重要目标分布图、人口疏散规划图、人防工程现状图、市域城镇人防工程控制体系规划图、中心城区人防工程总体规划图、中心城区重点人防工程规划图、中心城区近期人防工程</w:t>
            </w: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建设规划图、城市地下空间兼顾人民防空要求规划图等。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总体规划文件数量齐全率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《中华人民共和国人民防空法》，第十三条城市人民政府应当制定人民防空工程建设规划，并纳入城市总体规划</w:t>
            </w:r>
          </w:p>
        </w:tc>
      </w:tr>
      <w:tr w:rsidR="001D382A" w:rsidRPr="003E0DF5" w:rsidTr="003E0DF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技术依据准确客观、规划布局科学合理、文本说明具体严谨、规划图示真实详尽。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技术依据准确客观、规划布局科学合理、文本说明具体严谨、规划图示真实详尽。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根据年初工作计划安排</w:t>
            </w:r>
          </w:p>
        </w:tc>
      </w:tr>
      <w:tr w:rsidR="001D382A" w:rsidRPr="003E0DF5" w:rsidTr="003E0DF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2020年12月底前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根据年初工作计划安排</w:t>
            </w:r>
          </w:p>
        </w:tc>
      </w:tr>
      <w:tr w:rsidR="001D382A" w:rsidRPr="003E0DF5" w:rsidTr="003E0DF5">
        <w:trPr>
          <w:trHeight w:val="672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预算资金完成率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预算资金完成率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80%以上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根据年初工作计划安排</w:t>
            </w:r>
          </w:p>
        </w:tc>
      </w:tr>
      <w:tr w:rsidR="001D382A" w:rsidRPr="003E0DF5" w:rsidTr="003E0DF5">
        <w:trPr>
          <w:trHeight w:val="65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3E0DF5">
        <w:trPr>
          <w:trHeight w:val="67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3E0DF5">
        <w:trPr>
          <w:trHeight w:val="727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3E0DF5">
        <w:trPr>
          <w:trHeight w:val="63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3E0DF5">
        <w:trPr>
          <w:trHeight w:val="79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3E0DF5">
            <w:pPr>
              <w:widowControl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3E0DF5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年度工作安排</w:t>
            </w:r>
          </w:p>
        </w:tc>
      </w:tr>
    </w:tbl>
    <w:p w:rsidR="001D382A" w:rsidRPr="003E0DF5" w:rsidRDefault="001D382A" w:rsidP="00CB5115">
      <w:pPr>
        <w:rPr>
          <w:sz w:val="20"/>
          <w:szCs w:val="20"/>
        </w:rPr>
        <w:sectPr w:rsidR="001D382A" w:rsidRPr="003E0DF5" w:rsidSect="001D382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D382A" w:rsidRPr="003E0DF5" w:rsidRDefault="001D382A" w:rsidP="00CB5115">
      <w:pPr>
        <w:rPr>
          <w:sz w:val="20"/>
          <w:szCs w:val="20"/>
        </w:rPr>
      </w:pPr>
    </w:p>
    <w:tbl>
      <w:tblPr>
        <w:tblW w:w="85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1276"/>
        <w:gridCol w:w="1417"/>
        <w:gridCol w:w="1560"/>
        <w:gridCol w:w="1559"/>
        <w:gridCol w:w="1417"/>
      </w:tblGrid>
      <w:tr w:rsidR="001D382A" w:rsidRPr="003E0DF5" w:rsidTr="00CB5115">
        <w:trPr>
          <w:trHeight w:val="7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项目编码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206002B20DX0004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“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921”工程维修改造</w:t>
            </w:r>
          </w:p>
        </w:tc>
      </w:tr>
      <w:tr w:rsidR="001D382A" w:rsidRPr="003E0DF5" w:rsidTr="00CB5115">
        <w:trPr>
          <w:trHeight w:val="9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项目资金主要用途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sz w:val="20"/>
                <w:szCs w:val="20"/>
              </w:rPr>
              <w:t>总预算</w:t>
            </w:r>
            <w:r w:rsidRPr="003E0DF5">
              <w:rPr>
                <w:rFonts w:ascii="宋体" w:eastAsia="宋体" w:hAnsi="宋体" w:cs="宋体"/>
                <w:sz w:val="20"/>
                <w:szCs w:val="20"/>
              </w:rPr>
              <w:t>773万元，2020年申请资金100万元，其中非税收入100万元；主要用于“921工程”两条通道、四个口部房、11个通风口进行改造。</w:t>
            </w:r>
          </w:p>
        </w:tc>
      </w:tr>
      <w:tr w:rsidR="001D382A" w:rsidRPr="003E0DF5" w:rsidTr="00CB5115">
        <w:trPr>
          <w:trHeight w:val="401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资金支出计划(累计进度%)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第一季度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第二季度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第三季度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第四季度</w:t>
            </w:r>
          </w:p>
        </w:tc>
      </w:tr>
      <w:tr w:rsidR="001D382A" w:rsidRPr="003E0DF5" w:rsidTr="00CB5115">
        <w:trPr>
          <w:trHeight w:val="376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0.00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</w:tr>
      <w:tr w:rsidR="001D382A" w:rsidRPr="003E0DF5" w:rsidTr="00CB5115">
        <w:trPr>
          <w:trHeight w:val="84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符合人防标准规范。</w:t>
            </w:r>
          </w:p>
        </w:tc>
      </w:tr>
      <w:tr w:rsidR="001D382A" w:rsidRPr="003E0DF5" w:rsidTr="00CB5115">
        <w:trPr>
          <w:trHeight w:val="6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绩效指标描述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指标值确定依据</w:t>
            </w:r>
          </w:p>
        </w:tc>
      </w:tr>
      <w:tr w:rsidR="001D382A" w:rsidRPr="003E0DF5" w:rsidTr="00CB5115">
        <w:trPr>
          <w:trHeight w:val="709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5000平米的“921”人防工程两条通道、四个口部房、11个通风口进行改造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5000平米的“921”人防工程两条通道、四个口部房、11个通风口进行改造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工程完成率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工程完成率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2021年12月底前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CB5115">
        <w:trPr>
          <w:trHeight w:val="672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预算资金完成率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预算资金完成率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80%以上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年都工作计划</w:t>
            </w:r>
          </w:p>
        </w:tc>
      </w:tr>
      <w:tr w:rsidR="001D382A" w:rsidRPr="003E0DF5" w:rsidTr="00CB5115">
        <w:trPr>
          <w:trHeight w:val="65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67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为广大人民群众提供人民防空办公室工程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为广大人民群众提供人民防空办公室工程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为广大人民群众提供人民防空办公室工程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为广大人民群众提供人民防空办公室工程</w:t>
            </w:r>
          </w:p>
        </w:tc>
      </w:tr>
      <w:tr w:rsidR="001D382A" w:rsidRPr="003E0DF5" w:rsidTr="00CB5115">
        <w:trPr>
          <w:trHeight w:val="727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63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79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</w:tbl>
    <w:p w:rsidR="001D382A" w:rsidRPr="003E0DF5" w:rsidRDefault="001D382A" w:rsidP="00CB5115">
      <w:pPr>
        <w:rPr>
          <w:sz w:val="20"/>
          <w:szCs w:val="20"/>
        </w:rPr>
        <w:sectPr w:rsidR="001D382A" w:rsidRPr="003E0DF5" w:rsidSect="001D382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D382A" w:rsidRPr="003E0DF5" w:rsidRDefault="001D382A" w:rsidP="00CB5115">
      <w:pPr>
        <w:rPr>
          <w:sz w:val="20"/>
          <w:szCs w:val="20"/>
        </w:rPr>
      </w:pPr>
    </w:p>
    <w:tbl>
      <w:tblPr>
        <w:tblW w:w="85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1276"/>
        <w:gridCol w:w="1417"/>
        <w:gridCol w:w="21"/>
        <w:gridCol w:w="1539"/>
        <w:gridCol w:w="1559"/>
        <w:gridCol w:w="1417"/>
      </w:tblGrid>
      <w:tr w:rsidR="001D382A" w:rsidRPr="003E0DF5" w:rsidTr="00CB5115">
        <w:trPr>
          <w:trHeight w:val="7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项目编码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206002B20DX0005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早期人防工程勘测费</w:t>
            </w:r>
          </w:p>
        </w:tc>
      </w:tr>
      <w:tr w:rsidR="001D382A" w:rsidRPr="003E0DF5" w:rsidTr="00CB5115">
        <w:trPr>
          <w:trHeight w:val="9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项目资金主要用途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sz w:val="20"/>
                <w:szCs w:val="20"/>
              </w:rPr>
              <w:t>总预算数位</w:t>
            </w:r>
            <w:r w:rsidRPr="003E0DF5">
              <w:rPr>
                <w:rFonts w:ascii="宋体" w:eastAsia="宋体" w:hAnsi="宋体" w:cs="宋体"/>
                <w:sz w:val="20"/>
                <w:szCs w:val="20"/>
              </w:rPr>
              <w:t>920万元，2020年申请100万元，其中非税收入100万元；主要用于早期人防工程分类治理。</w:t>
            </w:r>
          </w:p>
        </w:tc>
      </w:tr>
      <w:tr w:rsidR="001D382A" w:rsidRPr="003E0DF5" w:rsidTr="00CB5115">
        <w:trPr>
          <w:trHeight w:val="401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资金支出计划(累计进度%)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第一季度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第二季度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第三季度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第四季度</w:t>
            </w:r>
          </w:p>
        </w:tc>
      </w:tr>
      <w:tr w:rsidR="001D382A" w:rsidRPr="003E0DF5" w:rsidTr="00CB5115">
        <w:trPr>
          <w:trHeight w:val="376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0.00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</w:tr>
      <w:tr w:rsidR="001D382A" w:rsidRPr="003E0DF5" w:rsidTr="00CB5115">
        <w:trPr>
          <w:trHeight w:val="84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对全市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23万平米早期人防工程勘测并形成勘测报告。</w:t>
            </w:r>
          </w:p>
        </w:tc>
      </w:tr>
      <w:tr w:rsidR="001D382A" w:rsidRPr="003E0DF5" w:rsidTr="003E0DF5">
        <w:trPr>
          <w:trHeight w:val="6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绩效指标描述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指标值确定依据</w:t>
            </w:r>
          </w:p>
        </w:tc>
      </w:tr>
      <w:tr w:rsidR="001D382A" w:rsidRPr="003E0DF5" w:rsidTr="003E0DF5">
        <w:trPr>
          <w:trHeight w:val="709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共计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23万平米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共计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23万平米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23万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3E0DF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认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真分析早期人 防 工 程调查摸底和普查评估情况 ,逐 个 工 程研究处置意见,为 后 续分类治理做好准各 、 奠定基础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认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真分析早期人 防 工 程调查摸底和普查评估情况 ,逐 个 工 程研究处置意见,为 后 续分类治理做好准各 、 奠定基础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项目完成率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80%以上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年度工作计划和上级有关要求</w:t>
            </w:r>
          </w:p>
        </w:tc>
      </w:tr>
      <w:tr w:rsidR="001D382A" w:rsidRPr="003E0DF5" w:rsidTr="003E0DF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2021年12月底前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3E0DF5">
        <w:trPr>
          <w:trHeight w:val="672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资金完成率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资金完成率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85%以上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3E0DF5">
        <w:trPr>
          <w:trHeight w:val="65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3E0DF5">
        <w:trPr>
          <w:trHeight w:val="67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服务城建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、 服务群众 、活用资源 、 放大价值的大事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服务城建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、 服务群众 、活用资源 、 放大价值的大事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服务城建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、 服务群众 、活用资源 、 放大价值的大事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3E0DF5">
        <w:trPr>
          <w:trHeight w:val="727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3E0DF5">
        <w:trPr>
          <w:trHeight w:val="63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3E0DF5">
        <w:trPr>
          <w:trHeight w:val="79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年度工作计划和上级有关要求</w:t>
            </w:r>
          </w:p>
        </w:tc>
      </w:tr>
    </w:tbl>
    <w:p w:rsidR="001D382A" w:rsidRPr="003E0DF5" w:rsidRDefault="001D382A" w:rsidP="00CB5115">
      <w:pPr>
        <w:rPr>
          <w:sz w:val="20"/>
          <w:szCs w:val="20"/>
        </w:rPr>
        <w:sectPr w:rsidR="001D382A" w:rsidRPr="003E0DF5" w:rsidSect="001D382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D382A" w:rsidRPr="003E0DF5" w:rsidRDefault="001D382A" w:rsidP="00CB5115">
      <w:pPr>
        <w:rPr>
          <w:sz w:val="20"/>
          <w:szCs w:val="20"/>
        </w:rPr>
      </w:pPr>
    </w:p>
    <w:tbl>
      <w:tblPr>
        <w:tblW w:w="85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1276"/>
        <w:gridCol w:w="1417"/>
        <w:gridCol w:w="1560"/>
        <w:gridCol w:w="1559"/>
        <w:gridCol w:w="1417"/>
      </w:tblGrid>
      <w:tr w:rsidR="001D382A" w:rsidRPr="003E0DF5" w:rsidTr="00CB5115">
        <w:trPr>
          <w:trHeight w:val="7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项目编码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206002B20DX0006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时代广场地下人防工程土地划拨费</w:t>
            </w:r>
          </w:p>
        </w:tc>
      </w:tr>
      <w:tr w:rsidR="001D382A" w:rsidRPr="003E0DF5" w:rsidTr="00CB5115">
        <w:trPr>
          <w:trHeight w:val="9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项目资金主要用途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预算数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1073万元，其中非税收入1073万元；主要用于时代广场土地划拨使用。</w:t>
            </w:r>
          </w:p>
        </w:tc>
      </w:tr>
      <w:tr w:rsidR="001D382A" w:rsidRPr="003E0DF5" w:rsidTr="00CB5115">
        <w:trPr>
          <w:trHeight w:val="401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资金支出计划(累计进度%)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第一季度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第二季度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第三季度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第四季度</w:t>
            </w:r>
          </w:p>
        </w:tc>
      </w:tr>
      <w:tr w:rsidR="001D382A" w:rsidRPr="003E0DF5" w:rsidTr="00CB5115">
        <w:trPr>
          <w:trHeight w:val="376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</w:tr>
      <w:tr w:rsidR="001D382A" w:rsidRPr="003E0DF5" w:rsidTr="00CB5115">
        <w:trPr>
          <w:trHeight w:val="84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时代广场地下人防工程于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2009年5月经国家人民防空办公室批准建设；2010年2月经市政府批准该项目通过招商引资的方式建设，同年5月市人防办与唐山胜宇房地产开发有限公司签订了《时代广场地下人防工程特许经营协议》和《补充协议》；时代广场地下人防工程占地面积地上部分为30025平方米，地下一层面积31288平方米，经自然资源规划部门测算，该工程土地划拨费用为1073万元。按照唐山市路北区人民法院民事判决书（（2019）冀0203民初843号）判定：唐山市人民防空办公室继续履行《时代广场地下人防工程特许经营协议》</w:t>
            </w: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，并承担办理唐山市时代工程地下人防工程土地使用权义务及费用，建议用易地建设费安排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1073万元。</w:t>
            </w:r>
          </w:p>
        </w:tc>
      </w:tr>
      <w:tr w:rsidR="001D382A" w:rsidRPr="003E0DF5" w:rsidTr="00CB5115">
        <w:trPr>
          <w:trHeight w:val="6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绩效指标描述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指标值确定依据</w:t>
            </w:r>
          </w:p>
        </w:tc>
      </w:tr>
      <w:tr w:rsidR="001D382A" w:rsidRPr="003E0DF5" w:rsidTr="00CB5115">
        <w:trPr>
          <w:trHeight w:val="709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时代广场地下人防工程占地面积地上部分为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30025平方米，地下一层面积31288平方米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时代广场地下人防工程占地面积地上部分为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30025平方米，地下一层面积31288平方米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61313平方米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2020年8月底前完成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CB5115">
        <w:trPr>
          <w:trHeight w:val="672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1073万以内完成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1073万以内完成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1073万以内完成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1073万以内完成</w:t>
            </w:r>
          </w:p>
        </w:tc>
      </w:tr>
      <w:tr w:rsidR="001D382A" w:rsidRPr="003E0DF5" w:rsidTr="00CB5115">
        <w:trPr>
          <w:trHeight w:val="65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67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妥善解决该项目信访积案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妥善解决该项目信访积案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CB5115">
        <w:trPr>
          <w:trHeight w:val="727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63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79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</w:tbl>
    <w:p w:rsidR="001D382A" w:rsidRPr="003E0DF5" w:rsidRDefault="001D382A" w:rsidP="00CB5115">
      <w:pPr>
        <w:rPr>
          <w:sz w:val="20"/>
          <w:szCs w:val="20"/>
        </w:rPr>
        <w:sectPr w:rsidR="001D382A" w:rsidRPr="003E0DF5" w:rsidSect="001D382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D382A" w:rsidRPr="003E0DF5" w:rsidRDefault="001D382A" w:rsidP="00CB5115">
      <w:pPr>
        <w:rPr>
          <w:sz w:val="20"/>
          <w:szCs w:val="20"/>
        </w:rPr>
      </w:pPr>
    </w:p>
    <w:tbl>
      <w:tblPr>
        <w:tblW w:w="85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1276"/>
        <w:gridCol w:w="1417"/>
        <w:gridCol w:w="1560"/>
        <w:gridCol w:w="1559"/>
        <w:gridCol w:w="1417"/>
      </w:tblGrid>
      <w:tr w:rsidR="001D382A" w:rsidRPr="003E0DF5" w:rsidTr="00CB5115">
        <w:trPr>
          <w:trHeight w:val="7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项目编码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206002B20DX0007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人防指挥车配套设施建设</w:t>
            </w:r>
          </w:p>
        </w:tc>
      </w:tr>
      <w:tr w:rsidR="001D382A" w:rsidRPr="003E0DF5" w:rsidTr="00CB5115">
        <w:trPr>
          <w:trHeight w:val="9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项目资金主要用途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sz w:val="20"/>
                <w:szCs w:val="20"/>
              </w:rPr>
              <w:t>总预算</w:t>
            </w:r>
            <w:r w:rsidRPr="003E0DF5">
              <w:rPr>
                <w:rFonts w:ascii="宋体" w:eastAsia="宋体" w:hAnsi="宋体" w:cs="宋体"/>
                <w:sz w:val="20"/>
                <w:szCs w:val="20"/>
              </w:rPr>
              <w:t>86万元，2020年申请36万元，主要用于特种设备保障设施建设。</w:t>
            </w:r>
          </w:p>
        </w:tc>
      </w:tr>
      <w:tr w:rsidR="001D382A" w:rsidRPr="003E0DF5" w:rsidTr="00CB5115">
        <w:trPr>
          <w:trHeight w:val="401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资金支出计划(累计进度%)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第一季度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第二季度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第三季度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第四季度</w:t>
            </w:r>
          </w:p>
        </w:tc>
      </w:tr>
      <w:tr w:rsidR="001D382A" w:rsidRPr="003E0DF5" w:rsidTr="00CB5115">
        <w:trPr>
          <w:trHeight w:val="376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0.00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50.00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</w:tr>
      <w:tr w:rsidR="001D382A" w:rsidRPr="003E0DF5" w:rsidTr="00CB5115">
        <w:trPr>
          <w:trHeight w:val="84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山人防现有低空预警雷达车一台（大型车）、机动指挥车一台（中型车），按照省办要求已采购“二代人防机动指挥平台”车两台（大型车）。以上均机动车均装有高科技通信设备，为避免长期风吹雨淋、日晒寒冻，延长高科技通信设备使用寿命，申请建设特种设备车辆车棚及其他配套设施。</w:t>
            </w:r>
          </w:p>
        </w:tc>
      </w:tr>
      <w:tr w:rsidR="001D382A" w:rsidRPr="003E0DF5" w:rsidTr="00CB5115">
        <w:trPr>
          <w:trHeight w:val="6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绩效指标描述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指标值确定依据</w:t>
            </w:r>
          </w:p>
        </w:tc>
      </w:tr>
      <w:tr w:rsidR="001D382A" w:rsidRPr="003E0DF5" w:rsidTr="00CB5115">
        <w:trPr>
          <w:trHeight w:val="709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能够为我办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5辆特种车提供保障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能够为我办</w:t>
            </w: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5辆特种车提供保障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2020年12月底前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CB5115">
        <w:trPr>
          <w:trHeight w:val="672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资金完成率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1D382A" w:rsidRPr="003E0DF5" w:rsidTr="00CB5115">
        <w:trPr>
          <w:trHeight w:val="65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67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为特种车辆执行任务提供保障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为特种车辆执行任务提供保障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为特种车辆执行任务提供保障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为特种车辆执行任务提供保障</w:t>
            </w:r>
          </w:p>
        </w:tc>
      </w:tr>
      <w:tr w:rsidR="001D382A" w:rsidRPr="003E0DF5" w:rsidTr="00CB5115">
        <w:trPr>
          <w:trHeight w:val="727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63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D382A" w:rsidRPr="003E0DF5" w:rsidTr="00CB5115">
        <w:trPr>
          <w:trHeight w:val="79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车辆使用人员及单位满意度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车辆使用人员及单位满意度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D382A" w:rsidRPr="003E0DF5" w:rsidRDefault="001D382A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95%以上</w:t>
            </w:r>
          </w:p>
        </w:tc>
      </w:tr>
    </w:tbl>
    <w:p w:rsidR="001D382A" w:rsidRPr="003E0DF5" w:rsidRDefault="001D382A" w:rsidP="00CB5115">
      <w:pPr>
        <w:rPr>
          <w:sz w:val="20"/>
          <w:szCs w:val="20"/>
        </w:rPr>
      </w:pPr>
    </w:p>
    <w:p w:rsidR="001D382A" w:rsidRPr="003E0DF5" w:rsidRDefault="001D382A" w:rsidP="00CB5115">
      <w:pPr>
        <w:rPr>
          <w:sz w:val="20"/>
          <w:szCs w:val="20"/>
        </w:rPr>
      </w:pPr>
    </w:p>
    <w:p w:rsidR="001D382A" w:rsidRPr="003E0DF5" w:rsidRDefault="001D382A" w:rsidP="00CB5115">
      <w:pPr>
        <w:rPr>
          <w:sz w:val="20"/>
          <w:szCs w:val="20"/>
        </w:rPr>
      </w:pPr>
    </w:p>
    <w:p w:rsidR="001D382A" w:rsidRDefault="001D382A" w:rsidP="00CB5115">
      <w:pPr>
        <w:rPr>
          <w:rFonts w:hint="eastAsia"/>
          <w:sz w:val="20"/>
          <w:szCs w:val="20"/>
        </w:rPr>
      </w:pPr>
    </w:p>
    <w:p w:rsidR="003E0DF5" w:rsidRPr="003E0DF5" w:rsidRDefault="003E0DF5" w:rsidP="00CB5115">
      <w:pPr>
        <w:rPr>
          <w:sz w:val="20"/>
          <w:szCs w:val="20"/>
        </w:rPr>
      </w:pPr>
    </w:p>
    <w:p w:rsidR="001D382A" w:rsidRPr="003E0DF5" w:rsidRDefault="001D382A" w:rsidP="00CB5115">
      <w:pPr>
        <w:rPr>
          <w:sz w:val="20"/>
          <w:szCs w:val="20"/>
        </w:rPr>
      </w:pPr>
    </w:p>
    <w:tbl>
      <w:tblPr>
        <w:tblW w:w="85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1276"/>
        <w:gridCol w:w="1417"/>
        <w:gridCol w:w="1560"/>
        <w:gridCol w:w="1559"/>
        <w:gridCol w:w="1417"/>
      </w:tblGrid>
      <w:tr w:rsidR="00AE1639" w:rsidRPr="003E0DF5" w:rsidTr="00CB5115">
        <w:trPr>
          <w:trHeight w:val="7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项目编码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206002B20DX0003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人防应急避难智慧疏散及救援系统研发</w:t>
            </w:r>
          </w:p>
        </w:tc>
      </w:tr>
      <w:tr w:rsidR="00AE1639" w:rsidRPr="003E0DF5" w:rsidTr="00CB5115">
        <w:trPr>
          <w:trHeight w:val="9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项目资金主要用途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sz w:val="20"/>
                <w:szCs w:val="20"/>
              </w:rPr>
              <w:t>总预算数559万元，2020年申请200万元。其中非税收入200万元，主要用于系统研发和系统保障运营所需硬件的购置。</w:t>
            </w:r>
          </w:p>
        </w:tc>
      </w:tr>
      <w:tr w:rsidR="00AE1639" w:rsidRPr="003E0DF5" w:rsidTr="00CB5115">
        <w:trPr>
          <w:trHeight w:val="401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资金支出计划(累计进度%)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第一季度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第二季度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第三季度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第四季度</w:t>
            </w:r>
          </w:p>
        </w:tc>
      </w:tr>
      <w:tr w:rsidR="00AE1639" w:rsidRPr="003E0DF5" w:rsidTr="00CB5115">
        <w:trPr>
          <w:trHeight w:val="376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100.00</w:t>
            </w:r>
          </w:p>
        </w:tc>
      </w:tr>
      <w:tr w:rsidR="00AE1639" w:rsidRPr="003E0DF5" w:rsidTr="00CB5115">
        <w:trPr>
          <w:trHeight w:val="84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AE1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人防应急避难智慧疏散及救援系统项目绩效评价表</w:t>
            </w:r>
          </w:p>
          <w:p w:rsidR="00AE1639" w:rsidRPr="003E0DF5" w:rsidRDefault="00AE1639" w:rsidP="00AE1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ab/>
              <w:t>二级指标</w:t>
            </w: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ab/>
              <w:t>指标解释</w:t>
            </w: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ab/>
              <w:t>绩效标准</w:t>
            </w:r>
          </w:p>
        </w:tc>
      </w:tr>
      <w:tr w:rsidR="00AE1639" w:rsidRPr="003E0DF5" w:rsidTr="00CB5115">
        <w:trPr>
          <w:trHeight w:val="6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绩效指标描述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年度工作安排</w:t>
            </w:r>
          </w:p>
        </w:tc>
      </w:tr>
      <w:tr w:rsidR="00AE1639" w:rsidRPr="003E0DF5" w:rsidTr="00CB5115">
        <w:trPr>
          <w:trHeight w:val="709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十万人以上安装此系统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十万人以上安装此系统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AE1639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瞬间并发量3万以上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瞬间并发量3万以上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年度工作安排</w:t>
            </w:r>
          </w:p>
        </w:tc>
      </w:tr>
      <w:tr w:rsidR="00AE1639" w:rsidRPr="003E0DF5" w:rsidTr="00CB5115">
        <w:trPr>
          <w:trHeight w:val="69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项目完成时限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瞬间并发量3万以上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2021年12月底前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AE1639" w:rsidRPr="003E0DF5" w:rsidTr="00CB5115">
        <w:trPr>
          <w:trHeight w:val="672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资金完成率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年度工作计划</w:t>
            </w:r>
          </w:p>
        </w:tc>
      </w:tr>
      <w:tr w:rsidR="00AE1639" w:rsidRPr="003E0DF5" w:rsidTr="00CB5115">
        <w:trPr>
          <w:trHeight w:val="65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E1639" w:rsidRPr="003E0DF5" w:rsidTr="00CB5115">
        <w:trPr>
          <w:trHeight w:val="671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AE1639" w:rsidRPr="003E0DF5" w:rsidTr="00CB5115">
        <w:trPr>
          <w:trHeight w:val="727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E1639" w:rsidRPr="003E0DF5" w:rsidTr="00CB5115">
        <w:trPr>
          <w:trHeight w:val="63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E1639" w:rsidRPr="003E0DF5" w:rsidTr="00CB5115">
        <w:trPr>
          <w:trHeight w:val="79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E1639" w:rsidRPr="003E0DF5" w:rsidRDefault="00AE1639" w:rsidP="00CB511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3E0D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年度工作安排</w:t>
            </w:r>
          </w:p>
        </w:tc>
      </w:tr>
    </w:tbl>
    <w:p w:rsidR="00E9146D" w:rsidRPr="003E0DF5" w:rsidRDefault="00E9146D" w:rsidP="001D382A">
      <w:pPr>
        <w:spacing w:line="360" w:lineRule="auto"/>
        <w:jc w:val="left"/>
        <w:rPr>
          <w:rFonts w:ascii="宋体" w:eastAsia="宋体" w:hAnsi="宋体"/>
          <w:b/>
          <w:color w:val="000000"/>
          <w:sz w:val="20"/>
          <w:szCs w:val="20"/>
        </w:rPr>
      </w:pPr>
    </w:p>
    <w:sectPr w:rsidR="00E9146D" w:rsidRPr="003E0DF5" w:rsidSect="001D382A">
      <w:pgSz w:w="11906" w:h="16838"/>
      <w:pgMar w:top="1340" w:right="1800" w:bottom="13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115" w:rsidRDefault="00CB5115" w:rsidP="001D382A">
      <w:r>
        <w:separator/>
      </w:r>
    </w:p>
  </w:endnote>
  <w:endnote w:type="continuationSeparator" w:id="1">
    <w:p w:rsidR="00CB5115" w:rsidRDefault="00CB5115" w:rsidP="001D3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15" w:rsidRDefault="00CB5115" w:rsidP="001D382A">
    <w:pPr>
      <w:pStyle w:val="a5"/>
      <w:jc w:val="center"/>
    </w:pPr>
    <w:r>
      <w:rPr>
        <w:rFonts w:hint="eastAsia"/>
      </w:rPr>
      <w:t>第</w:t>
    </w:r>
    <w:r>
      <w:rPr>
        <w:rFonts w:hint="eastAsia"/>
      </w:rPr>
      <w:t xml:space="preserve"> </w:t>
    </w:r>
    <w:fldSimple w:instr=" Page \* MERGEFORMAT ">
      <w:r w:rsidR="00B8063C">
        <w:rPr>
          <w:noProof/>
        </w:rPr>
        <w:t>6</w:t>
      </w:r>
    </w:fldSimple>
    <w:r>
      <w:rPr>
        <w:rFonts w:hint="eastAsia"/>
      </w:rPr>
      <w:t xml:space="preserve"> </w:t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115" w:rsidRDefault="00CB5115" w:rsidP="001D382A">
      <w:r>
        <w:separator/>
      </w:r>
    </w:p>
  </w:footnote>
  <w:footnote w:type="continuationSeparator" w:id="1">
    <w:p w:rsidR="00CB5115" w:rsidRDefault="00CB5115" w:rsidP="001D38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382A"/>
    <w:rsid w:val="001D382A"/>
    <w:rsid w:val="002D1370"/>
    <w:rsid w:val="00376A2F"/>
    <w:rsid w:val="003E0DF5"/>
    <w:rsid w:val="00535AB8"/>
    <w:rsid w:val="009F78E0"/>
    <w:rsid w:val="00A773F8"/>
    <w:rsid w:val="00AE1639"/>
    <w:rsid w:val="00B20A2F"/>
    <w:rsid w:val="00B8063C"/>
    <w:rsid w:val="00C24572"/>
    <w:rsid w:val="00CB5115"/>
    <w:rsid w:val="00E9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6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D382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D382A"/>
    <w:rPr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1D382A"/>
  </w:style>
  <w:style w:type="character" w:styleId="a3">
    <w:name w:val="Hyperlink"/>
    <w:basedOn w:val="a0"/>
    <w:uiPriority w:val="99"/>
    <w:unhideWhenUsed/>
    <w:rsid w:val="001D382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1D38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D382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D38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D38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71E00-85EB-48F7-9B89-12FCF5BF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1130</Words>
  <Characters>6442</Characters>
  <Application>Microsoft Office Word</Application>
  <DocSecurity>0</DocSecurity>
  <Lines>53</Lines>
  <Paragraphs>15</Paragraphs>
  <ScaleCrop>false</ScaleCrop>
  <Company>Microsoft</Company>
  <LinksUpToDate>false</LinksUpToDate>
  <CharactersWithSpaces>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tsczj</dc:creator>
  <cp:lastModifiedBy>Administrator</cp:lastModifiedBy>
  <cp:revision>2</cp:revision>
  <dcterms:created xsi:type="dcterms:W3CDTF">2020-01-06T03:25:00Z</dcterms:created>
  <dcterms:modified xsi:type="dcterms:W3CDTF">2020-01-06T03:25:00Z</dcterms:modified>
</cp:coreProperties>
</file>