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32"/>
          <w:szCs w:val="32"/>
        </w:rPr>
      </w:pPr>
    </w:p>
    <w:p>
      <w:pPr>
        <w:jc w:val="center"/>
        <w:rPr>
          <w:rFonts w:ascii="宋体" w:hAnsi="宋体" w:eastAsia="宋体"/>
          <w:sz w:val="32"/>
          <w:szCs w:val="32"/>
        </w:rPr>
      </w:pPr>
    </w:p>
    <w:p>
      <w:pPr>
        <w:jc w:val="center"/>
        <w:rPr>
          <w:rFonts w:ascii="宋体" w:hAnsi="宋体" w:eastAsia="宋体"/>
          <w:sz w:val="32"/>
          <w:szCs w:val="32"/>
        </w:rPr>
      </w:pPr>
    </w:p>
    <w:p>
      <w:pPr>
        <w:spacing w:line="0" w:lineRule="atLeast"/>
        <w:jc w:val="center"/>
        <w:rPr>
          <w:rFonts w:ascii="宋体" w:hAnsi="宋体" w:eastAsia="方正小标宋_GBK"/>
          <w:sz w:val="44"/>
          <w:szCs w:val="44"/>
        </w:rPr>
      </w:pPr>
      <w:r>
        <w:rPr>
          <w:rFonts w:hint="eastAsia" w:ascii="宋体" w:hAnsi="宋体" w:eastAsia="方正小标宋_GBK"/>
          <w:sz w:val="44"/>
          <w:szCs w:val="44"/>
        </w:rPr>
        <w:t>唐山市财政局</w:t>
      </w:r>
    </w:p>
    <w:p>
      <w:pPr>
        <w:spacing w:line="0" w:lineRule="atLeast"/>
        <w:jc w:val="center"/>
        <w:rPr>
          <w:rFonts w:ascii="宋体" w:hAnsi="宋体" w:eastAsia="方正小标宋_GBK"/>
          <w:sz w:val="44"/>
          <w:szCs w:val="44"/>
        </w:rPr>
      </w:pPr>
      <w:r>
        <w:rPr>
          <w:rFonts w:hint="eastAsia" w:ascii="宋体" w:hAnsi="宋体" w:eastAsia="方正小标宋_GBK"/>
          <w:sz w:val="44"/>
          <w:szCs w:val="44"/>
        </w:rPr>
        <w:t>2024年法治政府建设工作报告</w:t>
      </w:r>
    </w:p>
    <w:p>
      <w:pPr>
        <w:ind w:firstLine="640" w:firstLineChars="200"/>
        <w:rPr>
          <w:rFonts w:ascii="宋体" w:hAnsi="宋体" w:eastAsia="仿宋_GB2312"/>
          <w:sz w:val="32"/>
          <w:szCs w:val="32"/>
        </w:rPr>
      </w:pPr>
    </w:p>
    <w:p>
      <w:pPr>
        <w:ind w:firstLine="640" w:firstLineChars="200"/>
        <w:rPr>
          <w:rFonts w:ascii="宋体" w:hAnsi="宋体" w:eastAsia="仿宋_GB2312"/>
          <w:sz w:val="32"/>
          <w:szCs w:val="32"/>
        </w:rPr>
      </w:pPr>
      <w:r>
        <w:rPr>
          <w:rFonts w:hint="eastAsia" w:ascii="宋体" w:hAnsi="宋体" w:eastAsia="仿宋_GB2312"/>
          <w:sz w:val="32"/>
          <w:szCs w:val="32"/>
        </w:rPr>
        <w:t>2024年，唐山市财政局全面贯彻落实党的二十大精神和习近平法治思想，贯彻落实中央全面依法治国、省委全面依法治省决策部署和我市法治建设“一规划两方案”，按照市委全面依法治市委员会2024年工作要点要求认真推进法治财政建设。局党组主要负责人切实履行推进法治建设第一责任人职责，紧扣财税体制改革和财政中心工作扎实推进法治财政建设和依法行政工作，围绕“依法理财”积极探索创新法治财政建设的具体实现途径、方式和规律，在树立法治理念、完善制度建设、严格规范执法、防控法律风险等方面勇于探索、突破创新，取得了显著成效。</w:t>
      </w:r>
    </w:p>
    <w:p>
      <w:pPr>
        <w:tabs>
          <w:tab w:val="right" w:pos="8730"/>
        </w:tabs>
        <w:ind w:firstLine="707" w:firstLineChars="221"/>
        <w:rPr>
          <w:rFonts w:ascii="黑体" w:hAnsi="黑体" w:eastAsia="黑体"/>
          <w:sz w:val="32"/>
          <w:szCs w:val="32"/>
        </w:rPr>
      </w:pPr>
      <w:r>
        <w:rPr>
          <w:rFonts w:hint="eastAsia" w:ascii="黑体" w:hAnsi="黑体" w:eastAsia="黑体"/>
          <w:sz w:val="32"/>
          <w:szCs w:val="32"/>
        </w:rPr>
        <w:t>一、2024年工作情况</w:t>
      </w:r>
    </w:p>
    <w:p>
      <w:pPr>
        <w:tabs>
          <w:tab w:val="right" w:pos="8730"/>
        </w:tabs>
        <w:ind w:firstLine="707" w:firstLineChars="221"/>
        <w:rPr>
          <w:rFonts w:ascii="楷体" w:hAnsi="楷体" w:eastAsia="楷体"/>
          <w:sz w:val="32"/>
          <w:szCs w:val="32"/>
        </w:rPr>
      </w:pPr>
      <w:r>
        <w:rPr>
          <w:rFonts w:hint="eastAsia" w:ascii="楷体" w:hAnsi="楷体" w:eastAsia="楷体"/>
          <w:sz w:val="32"/>
          <w:szCs w:val="32"/>
        </w:rPr>
        <w:t>（一）强组织建机制，筑牢财政法治化建设制度基础</w:t>
      </w:r>
    </w:p>
    <w:p>
      <w:pPr>
        <w:ind w:firstLine="707" w:firstLineChars="221"/>
        <w:rPr>
          <w:rFonts w:ascii="宋体" w:hAnsi="宋体" w:eastAsia="黑体"/>
          <w:sz w:val="32"/>
          <w:szCs w:val="32"/>
        </w:rPr>
      </w:pPr>
      <w:r>
        <w:rPr>
          <w:rFonts w:hint="eastAsia" w:ascii="仿宋_GB2312" w:hAnsi="宋体" w:eastAsia="仿宋_GB2312"/>
          <w:sz w:val="32"/>
          <w:szCs w:val="32"/>
        </w:rPr>
        <w:t>一是加强法治财政组织机制建设。</w:t>
      </w:r>
      <w:r>
        <w:rPr>
          <w:rFonts w:hint="eastAsia" w:ascii="宋体" w:hAnsi="宋体" w:eastAsia="仿宋_GB2312"/>
          <w:sz w:val="32"/>
          <w:szCs w:val="32"/>
        </w:rPr>
        <w:t>成立由党组书记、局长任组长，局党组副书记、副局长和分管法治工作的副局长任副组长，各有关业务科室的主要负责人为成员的法治财政建设工作领导小组，进一步完善了组织机构架构。配备法规科专职法制工作人员3名、公职律师1名，充分保障法治工作经费，稳步推进财政法治建设工作。督导各县（市）区财政局制定各项法治工作计划，做好全市财政系统法治工作的组织、协调、检查、督促和指导。全市财政系统通过多种形式密切与上级财政部门和政府法制部门的联系，争取工作指导和技术支持；通过全市财政法治工作群，共享资源，畅通市县两级法治建设工作渠道。</w:t>
      </w:r>
      <w:r>
        <w:rPr>
          <w:rFonts w:hint="eastAsia" w:ascii="仿宋_GB2312" w:hAnsi="宋体" w:eastAsia="仿宋_GB2312"/>
          <w:sz w:val="32"/>
          <w:szCs w:val="32"/>
        </w:rPr>
        <w:t>二是加强法治财政制度体系建设。</w:t>
      </w:r>
      <w:r>
        <w:rPr>
          <w:rFonts w:hint="eastAsia" w:ascii="宋体" w:hAnsi="宋体" w:eastAsia="仿宋_GB2312" w:cs="Times New Roman"/>
          <w:color w:val="000000"/>
          <w:sz w:val="32"/>
          <w:szCs w:val="32"/>
        </w:rPr>
        <w:t>制定印发《唐山市财政系统提升行政执法质量三年工作方案（2023-2025年）》，按照方案要求部署推进相关工作。</w:t>
      </w:r>
      <w:r>
        <w:rPr>
          <w:rFonts w:hint="eastAsia" w:ascii="宋体" w:hAnsi="宋体" w:eastAsia="仿宋_GB2312"/>
          <w:sz w:val="32"/>
          <w:szCs w:val="32"/>
        </w:rPr>
        <w:t>制定权责清单、权力运行流程图并及时向社会公布，按照清单规定的权限和程序行使权力、落实责任，使财政行政权力在法治化轨道上运行。印发《唐山市财政局全面推行行政执法公示制度执法全过程记录制度重大执法决定法制审核制度实施方案》，持续推进“三项制度”建设。动态</w:t>
      </w:r>
      <w:r>
        <w:rPr>
          <w:rFonts w:hint="eastAsia" w:ascii="仿宋_GB2312" w:eastAsia="仿宋_GB2312"/>
          <w:sz w:val="32"/>
          <w:szCs w:val="32"/>
        </w:rPr>
        <w:t>调整《行政执法事项清单》，</w:t>
      </w:r>
      <w:r>
        <w:rPr>
          <w:rFonts w:hint="eastAsia" w:ascii="宋体" w:hAnsi="宋体" w:eastAsia="仿宋_GB2312"/>
          <w:sz w:val="32"/>
          <w:szCs w:val="32"/>
        </w:rPr>
        <w:t>严格执</w:t>
      </w:r>
      <w:r>
        <w:rPr>
          <w:rFonts w:hint="eastAsia" w:ascii="仿宋_GB2312" w:eastAsia="仿宋_GB2312"/>
          <w:sz w:val="32"/>
          <w:szCs w:val="32"/>
        </w:rPr>
        <w:t>行《河北省财政系统行政裁量权基准》，通过规范执法流程、细化</w:t>
      </w:r>
      <w:r>
        <w:rPr>
          <w:rFonts w:hint="eastAsia" w:ascii="宋体" w:hAnsi="宋体" w:eastAsia="仿宋_GB2312"/>
          <w:sz w:val="32"/>
          <w:szCs w:val="32"/>
        </w:rPr>
        <w:t>决策程序，明确行使行政权力的边界和尺度，</w:t>
      </w:r>
      <w:r>
        <w:rPr>
          <w:rFonts w:hint="eastAsia" w:ascii="仿宋_GB2312" w:eastAsia="仿宋_GB2312"/>
          <w:sz w:val="32"/>
          <w:szCs w:val="32"/>
        </w:rPr>
        <w:t>为</w:t>
      </w:r>
      <w:r>
        <w:rPr>
          <w:rFonts w:hint="eastAsia" w:ascii="宋体" w:hAnsi="宋体" w:eastAsia="仿宋_GB2312"/>
          <w:sz w:val="32"/>
          <w:szCs w:val="32"/>
        </w:rPr>
        <w:t>提升依法行政能力提供了制度保障。三</w:t>
      </w:r>
      <w:r>
        <w:rPr>
          <w:rFonts w:hint="eastAsia" w:ascii="仿宋_GB2312" w:hAnsi="宋体" w:eastAsia="仿宋_GB2312"/>
          <w:sz w:val="32"/>
          <w:szCs w:val="32"/>
        </w:rPr>
        <w:t>是加强法治人才培养和执法队伍建设。</w:t>
      </w:r>
      <w:r>
        <w:rPr>
          <w:rFonts w:hint="eastAsia" w:ascii="宋体" w:hAnsi="宋体" w:eastAsia="仿宋_GB2312"/>
          <w:sz w:val="32"/>
          <w:szCs w:val="32"/>
        </w:rPr>
        <w:t xml:space="preserve">严格落实行政执法人员资格管理和持证上岗制度，全局共有64名同志取得行政执法资格。针对行政执法人员年龄结构偏老龄化问题，不断加大新录用人员参加行政执法培训考核工作力度，行政执法人员年龄结构进一步优化，配置更加科学。加强职业准入，法规科2名从事法制审核人员取得法律职业资格、1名同志被省司法厅授予公职律师资格；聘请律师事务所2名执业律师作为局常年法律顾问，全程参与行政处罚、行政裁决、政府信息公开等涉法事项办理，充分发挥在行政决策中的积极作用，为推进规范公正文明执法，有效防范法律风险，确保法律正确实施提供了人才支持。 </w:t>
      </w:r>
    </w:p>
    <w:p>
      <w:pPr>
        <w:tabs>
          <w:tab w:val="right" w:pos="8730"/>
        </w:tabs>
        <w:ind w:firstLine="707" w:firstLineChars="221"/>
        <w:rPr>
          <w:rFonts w:ascii="楷体" w:hAnsi="楷体" w:eastAsia="楷体"/>
          <w:sz w:val="32"/>
          <w:szCs w:val="32"/>
        </w:rPr>
      </w:pPr>
      <w:r>
        <w:rPr>
          <w:rFonts w:hint="eastAsia" w:ascii="楷体" w:hAnsi="楷体" w:eastAsia="楷体"/>
          <w:sz w:val="32"/>
          <w:szCs w:val="32"/>
        </w:rPr>
        <w:t>（二）严格依法行政，提高财政法治化建设水平</w:t>
      </w:r>
    </w:p>
    <w:p>
      <w:pPr>
        <w:ind w:firstLine="640" w:firstLineChars="200"/>
        <w:rPr>
          <w:rFonts w:ascii="宋体" w:hAnsi="宋体" w:eastAsia="仿宋_GB2312"/>
          <w:sz w:val="32"/>
          <w:szCs w:val="32"/>
        </w:rPr>
      </w:pPr>
      <w:r>
        <w:rPr>
          <w:rFonts w:hint="eastAsia" w:ascii="宋体" w:hAnsi="宋体" w:eastAsia="仿宋_GB2312"/>
          <w:sz w:val="32"/>
          <w:szCs w:val="32"/>
        </w:rPr>
        <w:t>一是依法做好</w:t>
      </w:r>
      <w:r>
        <w:rPr>
          <w:rFonts w:hint="eastAsia" w:ascii="宋体" w:hAnsi="宋体" w:eastAsia="仿宋_GB2312"/>
          <w:sz w:val="32"/>
          <w:szCs w:val="32"/>
          <w:lang w:eastAsia="zh-CN"/>
        </w:rPr>
        <w:t>法制审核</w:t>
      </w:r>
      <w:r>
        <w:rPr>
          <w:rFonts w:hint="eastAsia" w:ascii="宋体" w:hAnsi="宋体" w:eastAsia="仿宋_GB2312"/>
          <w:sz w:val="32"/>
          <w:szCs w:val="32"/>
        </w:rPr>
        <w:t>和行政复议案件办理。对行政处罚、行政裁决、政府信息公开等涉法事项开展</w:t>
      </w:r>
      <w:r>
        <w:rPr>
          <w:rFonts w:hint="eastAsia" w:ascii="宋体" w:hAnsi="宋体" w:eastAsia="仿宋_GB2312"/>
          <w:sz w:val="32"/>
          <w:szCs w:val="32"/>
          <w:lang w:eastAsia="zh-CN"/>
        </w:rPr>
        <w:t>法制审核</w:t>
      </w:r>
      <w:r>
        <w:rPr>
          <w:rFonts w:hint="eastAsia" w:ascii="宋体" w:hAnsi="宋体" w:eastAsia="仿宋_GB2312"/>
          <w:sz w:val="32"/>
          <w:szCs w:val="32"/>
        </w:rPr>
        <w:t>127次，</w:t>
      </w:r>
      <w:r>
        <w:rPr>
          <w:rFonts w:hint="eastAsia" w:ascii="宋体" w:hAnsi="宋体" w:eastAsia="仿宋_GB2312" w:cs="Times New Roman"/>
          <w:sz w:val="32"/>
          <w:szCs w:val="32"/>
        </w:rPr>
        <w:t>共审核行政处罚98件、行政裁决事项11件、政府信息公开答复件12件，协助处理投诉举报事项6件</w:t>
      </w:r>
      <w:r>
        <w:rPr>
          <w:rFonts w:hint="eastAsia" w:ascii="宋体" w:hAnsi="宋体" w:eastAsia="仿宋_GB2312"/>
          <w:sz w:val="32"/>
          <w:szCs w:val="32"/>
        </w:rPr>
        <w:t>；</w:t>
      </w:r>
      <w:r>
        <w:rPr>
          <w:rFonts w:hint="eastAsia" w:ascii="宋体" w:hAnsi="宋体" w:eastAsia="仿宋_GB2312" w:cs="Times New Roman"/>
          <w:sz w:val="32"/>
          <w:szCs w:val="32"/>
        </w:rPr>
        <w:t>依法对3件行政处罚案件组织听证，确保了具体行政行为的合法合规合程序。依法办理相关行政复议案件，对市政府发来行政复议答复通知依法按时提交答复和相关佐证材料。</w:t>
      </w:r>
      <w:r>
        <w:rPr>
          <w:rFonts w:hint="eastAsia" w:ascii="仿宋_GB2312" w:hAnsi="宋体" w:eastAsia="仿宋_GB2312"/>
          <w:sz w:val="32"/>
          <w:szCs w:val="32"/>
        </w:rPr>
        <w:t>二是</w:t>
      </w:r>
      <w:r>
        <w:rPr>
          <w:rFonts w:hint="eastAsia" w:ascii="宋体" w:hAnsi="宋体" w:eastAsia="仿宋_GB2312"/>
          <w:sz w:val="32"/>
          <w:szCs w:val="32"/>
        </w:rPr>
        <w:t>加强规范性文件管理和公平竞争审查。组织开展2024年度规范性文件清理工作和妨碍统一市场和公平竞争政策措施清理工作，对全局印发的规范性文件进行年度自查“回头看”，对新增规范性文件按照规定程序严格审核把关，确保全部符合法律法规和公平竞争政策的要求。制定印发《唐山市财政局关于加强和规范公平竞争审查工作的通知》，开展公平竞争审查年度自查和交叉互查，切实提升法治化营商环境。三是切实保障人民群众知情权和监督权。推进财政信息主动公开，制定政务公开工作流程图，明确工作程序和时限要求，通过门户网站主动公开财政预决算、财政政策、减税降费、政府采购、预算绩效、会计考试、权责清单、规范性文件等各类财政信息，确保“应公开尽公开”。重点做好年度预算公开，及时公开各年度预算报告和表格的全部数据，对预算绩效、政府采购等情况进行详细说明，通过发布《预算解读》，让预算内容更加明晰、更接“地气”，切实保障群众知情权、参与权和监督权。四是强化监督管理、优化营商环境，依法提高财政公共服务水平。依托</w:t>
      </w:r>
      <w:r>
        <w:rPr>
          <w:rFonts w:hint="eastAsia" w:ascii="宋体" w:hAnsi="宋体" w:eastAsia="仿宋_GB2312"/>
          <w:sz w:val="32"/>
          <w:szCs w:val="32"/>
          <w:lang w:eastAsia="zh-CN"/>
        </w:rPr>
        <w:t>“双随机、一公开”监管</w:t>
      </w:r>
      <w:r>
        <w:rPr>
          <w:rFonts w:hint="eastAsia" w:ascii="宋体" w:hAnsi="宋体" w:eastAsia="仿宋_GB2312"/>
          <w:sz w:val="32"/>
          <w:szCs w:val="32"/>
        </w:rPr>
        <w:t>工作平台，开展会计信息质量监督检查和财政票据检查，切实加强财政资金监管。依法落实减税降费政策，贯彻国家政府性基金和行政事业性收费停征、免征、降低标准等政策，切实将政策落实到位。及时公示涉企行政事业性收费目录清单，真正做到清单之外无收费。推进“互联网+政务服务”“互联网+监管”工作，完善政务服务事项目录清单和“互联网+监管”事项清单，录入全国统一信息平台，提升财政政务服务事项网上办理能力，推进政务服务标准化建设。</w:t>
      </w:r>
    </w:p>
    <w:p>
      <w:pPr>
        <w:ind w:firstLine="640" w:firstLineChars="200"/>
        <w:rPr>
          <w:rFonts w:ascii="楷体" w:hAnsi="楷体" w:eastAsia="楷体"/>
          <w:sz w:val="32"/>
          <w:szCs w:val="32"/>
        </w:rPr>
      </w:pPr>
      <w:r>
        <w:rPr>
          <w:rFonts w:hint="eastAsia" w:ascii="楷体" w:hAnsi="楷体" w:eastAsia="楷体"/>
          <w:sz w:val="32"/>
          <w:szCs w:val="32"/>
        </w:rPr>
        <w:t>（三）强化普法宣传，营造财政法治化建设氛围</w:t>
      </w:r>
    </w:p>
    <w:p>
      <w:pPr>
        <w:ind w:firstLine="707" w:firstLineChars="221"/>
        <w:rPr>
          <w:rFonts w:ascii="仿宋_GB2312" w:hAnsi="宋体" w:eastAsia="仿宋_GB2312"/>
          <w:sz w:val="32"/>
          <w:szCs w:val="32"/>
        </w:rPr>
      </w:pPr>
      <w:r>
        <w:rPr>
          <w:rFonts w:hint="eastAsia" w:ascii="仿宋_GB2312" w:hAnsi="宋体" w:eastAsia="仿宋_GB2312"/>
          <w:sz w:val="32"/>
          <w:szCs w:val="32"/>
        </w:rPr>
        <w:t>一是加强普法制度建设，提高财政法治化建设水平。</w:t>
      </w:r>
      <w:r>
        <w:rPr>
          <w:rFonts w:hint="eastAsia" w:ascii="宋体" w:hAnsi="宋体" w:eastAsia="仿宋_GB2312" w:cs="Times New Roman"/>
          <w:color w:val="000000"/>
          <w:sz w:val="32"/>
          <w:szCs w:val="32"/>
        </w:rPr>
        <w:t>制定《唐山市财政局2024年度干部学法计划》，</w:t>
      </w:r>
      <w:r>
        <w:rPr>
          <w:rFonts w:hint="eastAsia" w:ascii="宋体" w:hAnsi="宋体" w:eastAsia="仿宋_GB2312"/>
          <w:sz w:val="32"/>
          <w:szCs w:val="32"/>
        </w:rPr>
        <w:t>系统组织全局领导干部学法工作。落实普法责任制，印发《全市财政普法依法治理工作要点》和“谁执法谁普法”普法责任清单，明确了全年财政法治宣传和培训的主要内容、责任分工、培训机制和普法方式。建立健全党组中心组集中学法、领导干部法治讲座、重大决策合法性审查、重大执法决定</w:t>
      </w:r>
      <w:r>
        <w:rPr>
          <w:rFonts w:hint="eastAsia" w:ascii="宋体" w:hAnsi="宋体" w:eastAsia="仿宋_GB2312"/>
          <w:sz w:val="32"/>
          <w:szCs w:val="32"/>
          <w:lang w:eastAsia="zh-CN"/>
        </w:rPr>
        <w:t>法制审核</w:t>
      </w:r>
      <w:r>
        <w:rPr>
          <w:rFonts w:hint="eastAsia" w:ascii="宋体" w:hAnsi="宋体" w:eastAsia="仿宋_GB2312"/>
          <w:sz w:val="32"/>
          <w:szCs w:val="32"/>
        </w:rPr>
        <w:t>、执法人员资格管理等项制度，为依法行政打下坚实的制度基础。</w:t>
      </w:r>
      <w:r>
        <w:rPr>
          <w:rFonts w:hint="eastAsia" w:ascii="仿宋_GB2312" w:hAnsi="宋体" w:eastAsia="仿宋_GB2312"/>
          <w:sz w:val="32"/>
          <w:szCs w:val="32"/>
        </w:rPr>
        <w:t>二是坚持政治引领，营造浓厚法治学习氛围。</w:t>
      </w:r>
      <w:r>
        <w:rPr>
          <w:rFonts w:hint="eastAsia" w:ascii="宋体" w:hAnsi="宋体" w:eastAsia="仿宋_GB2312"/>
          <w:sz w:val="32"/>
          <w:szCs w:val="32"/>
        </w:rPr>
        <w:t>把习近平法治思想作为党组理论学习中心组学习的重点内容，将宪法法律和党内法规学习列入局党组理论学习中心组年度学习计划，每年集中学法不少于4次，推动习近平法治思想学习走深走实。今年以来，按照“提升行政执法质量三年行动”工作方案要求，印发全局行政执法培训计划，对行政执法人员进行公共法律、业务知识、执法技能、职业道德等方面内容的线下培训，全年培训行政执法人员600余人次，人均参训达30学时。组织全局干部职工参加全市国家公职人员法律知识考试，每位干部职工每年选修河北干部网络学院法治课程不少于20学时，切实提升了财政干部职工依法行政能力。在《唐山财政》杂志设置“法治财政”专栏，局内网主页设置“法律法规政策”“公平竞争审查工作培训”等普法专栏，利用法治工作微信群等网络媒介组成新媒体普法矩阵，广泛推送法律法规学习内容，扩大财政普法的覆盖面和影响力。把财政普法融入行政执法全过程，运用执法典型案例开展生动普法，宣传行政处罚法、政府信息公开条例等法律法规，推动更高水平法治政府建设。</w:t>
      </w:r>
      <w:r>
        <w:rPr>
          <w:rFonts w:hint="eastAsia" w:ascii="仿宋_GB2312" w:hAnsi="宋体" w:eastAsia="仿宋_GB2312"/>
          <w:sz w:val="32"/>
          <w:szCs w:val="32"/>
        </w:rPr>
        <w:t>三是聚焦重点内容，分类开展特色普法。突出《中华人民共和国宪法》和《中华人民共和国民法典》学习宣传，组织开展“宪法宣传周”“民法典宣传月”集中宣传学习活动，通过党组中心组集中交流学习、组织知识答题、张贴宣传标语条幅、印发主题宣传页、深入社区宣传等形式广泛开展宪法和民法典学习宣传。加强党内法规学习宣传，以党章、准则、条例为重点，以局党组中心组理论学习、各党支部“三会一课”、主题党课为载体，结合实际开展党员、党史、党纪学习教育，促进党内法规学习宣传常态化、制度化。深入宣传与推动高质量发展、社会治理现代化和安全稳定密切相关的法律法规，以</w:t>
      </w:r>
      <w:r>
        <w:rPr>
          <w:rFonts w:hint="eastAsia" w:ascii="仿宋_GB2312" w:hAnsi="宋体" w:eastAsia="仿宋_GB2312"/>
          <w:sz w:val="32"/>
          <w:szCs w:val="32"/>
          <w:lang w:eastAsia="zh-CN"/>
        </w:rPr>
        <w:t>“4·15”全民国家安全教育日</w:t>
      </w:r>
      <w:r>
        <w:rPr>
          <w:rFonts w:hint="eastAsia" w:ascii="仿宋_GB2312" w:hAnsi="宋体" w:eastAsia="仿宋_GB2312"/>
          <w:sz w:val="32"/>
          <w:szCs w:val="32"/>
        </w:rPr>
        <w:t>、网络安全宣传周、公平竞争政策宣传周为契机，大力宣传总体国家安全观，深入开展</w:t>
      </w:r>
      <w:r>
        <w:rPr>
          <w:rFonts w:hint="eastAsia" w:ascii="仿宋_GB2312" w:hAnsi="宋体" w:eastAsia="仿宋_GB2312"/>
          <w:sz w:val="32"/>
          <w:szCs w:val="32"/>
          <w:lang w:eastAsia="zh-CN"/>
        </w:rPr>
        <w:t>《</w:t>
      </w:r>
      <w:r>
        <w:rPr>
          <w:rFonts w:hint="eastAsia" w:ascii="仿宋_GB2312" w:hAnsi="宋体" w:eastAsia="仿宋_GB2312"/>
          <w:sz w:val="32"/>
          <w:szCs w:val="32"/>
          <w:lang w:eastAsia="zh-CN"/>
        </w:rPr>
        <w:t>中华人民共和国国家安全法</w:t>
      </w:r>
      <w:bookmarkStart w:id="0" w:name="_GoBack"/>
      <w:bookmarkEnd w:id="0"/>
      <w:r>
        <w:rPr>
          <w:rFonts w:hint="eastAsia" w:ascii="仿宋_GB2312" w:hAnsi="宋体" w:eastAsia="仿宋_GB2312"/>
          <w:sz w:val="32"/>
          <w:szCs w:val="32"/>
          <w:lang w:eastAsia="zh-CN"/>
        </w:rPr>
        <w:t>》</w:t>
      </w:r>
      <w:r>
        <w:rPr>
          <w:rFonts w:hint="eastAsia" w:ascii="仿宋_GB2312" w:hAnsi="宋体" w:eastAsia="仿宋_GB2312"/>
          <w:sz w:val="32"/>
          <w:szCs w:val="32"/>
        </w:rPr>
        <w:t>、优化营商环境领域等相关法律法规政策宣传。</w:t>
      </w:r>
    </w:p>
    <w:p>
      <w:pPr>
        <w:ind w:firstLine="640" w:firstLineChars="200"/>
        <w:rPr>
          <w:rFonts w:ascii="黑体" w:hAnsi="黑体" w:eastAsia="黑体" w:cs="Times New Roman"/>
          <w:color w:val="000000"/>
          <w:kern w:val="0"/>
          <w:sz w:val="32"/>
          <w:szCs w:val="32"/>
        </w:rPr>
      </w:pPr>
      <w:r>
        <w:rPr>
          <w:rFonts w:hint="eastAsia" w:ascii="黑体" w:hAnsi="黑体" w:eastAsia="黑体" w:cs="Times New Roman"/>
          <w:color w:val="000000"/>
          <w:kern w:val="0"/>
          <w:sz w:val="32"/>
          <w:szCs w:val="32"/>
        </w:rPr>
        <w:t>二、下步工作措施</w:t>
      </w:r>
    </w:p>
    <w:p>
      <w:pPr>
        <w:pBdr>
          <w:top w:val="none" w:color="000000" w:sz="0" w:space="0"/>
          <w:left w:val="none" w:color="000000" w:sz="0" w:space="0"/>
          <w:bottom w:val="none" w:color="000000" w:sz="0" w:space="0"/>
          <w:right w:val="none" w:color="000000" w:sz="0" w:space="0"/>
          <w:between w:val="none" w:color="000000" w:sz="0" w:space="0"/>
        </w:pBdr>
        <w:ind w:firstLine="640" w:firstLineChars="200"/>
        <w:rPr>
          <w:rFonts w:ascii="宋体" w:hAnsi="宋体" w:eastAsia="仿宋_GB2312"/>
          <w:sz w:val="32"/>
          <w:szCs w:val="32"/>
        </w:rPr>
      </w:pPr>
      <w:r>
        <w:rPr>
          <w:rFonts w:hint="eastAsia" w:ascii="宋体" w:hAnsi="宋体" w:eastAsia="仿宋_GB2312" w:cs="Times New Roman"/>
          <w:color w:val="000000"/>
          <w:kern w:val="0"/>
          <w:sz w:val="32"/>
          <w:szCs w:val="32"/>
        </w:rPr>
        <w:t>2025年，唐山市财政局</w:t>
      </w:r>
      <w:r>
        <w:rPr>
          <w:rFonts w:hint="eastAsia" w:ascii="宋体" w:hAnsi="宋体" w:eastAsia="仿宋_GB2312"/>
          <w:sz w:val="32"/>
          <w:szCs w:val="32"/>
        </w:rPr>
        <w:t>将继续深入学习贯彻习近平法治思想，加快推进法治财政建设，增强运用法治思维和法治方式推动财政改革发展的能力水平，更好地发挥财政作为国家治理基础和重要支柱作用，为全力推进高质量财政建设，加快“三个努力建成”“三个走在前列”步伐提供法治支撑。</w:t>
      </w:r>
    </w:p>
    <w:p>
      <w:pPr>
        <w:pBdr>
          <w:top w:val="none" w:color="000000" w:sz="0" w:space="0"/>
          <w:left w:val="none" w:color="000000" w:sz="0" w:space="0"/>
          <w:bottom w:val="none" w:color="000000" w:sz="0" w:space="0"/>
          <w:right w:val="none" w:color="000000" w:sz="0" w:space="1"/>
          <w:between w:val="none" w:color="000000" w:sz="0" w:space="0"/>
        </w:pBdr>
        <w:ind w:firstLine="627"/>
        <w:rPr>
          <w:rFonts w:ascii="宋体" w:hAnsi="宋体" w:eastAsia="仿宋_GB2312"/>
          <w:sz w:val="32"/>
          <w:szCs w:val="32"/>
        </w:rPr>
      </w:pPr>
      <w:r>
        <w:rPr>
          <w:rFonts w:hint="eastAsia" w:ascii="宋体" w:hAnsi="宋体" w:eastAsia="仿宋_GB2312"/>
          <w:sz w:val="32"/>
          <w:szCs w:val="32"/>
        </w:rPr>
        <w:t>一是继续深化法治财政建设。继续深入学习贯彻习近平法治思想，加强统筹谋划，采取有力措施，深入推进依法行政，加快推进法治财政建设，增强运用法治思维和法治方式推动财政改革发展的能力水平。推进“三项制度”建设，根据相关法律法规修订实际，动态调整各类清单和裁量标准等，并及时向社会公开，明确财政部门行使行政权力的边界和尺度，规范执法流程、细化决策程序，提升财政法治能力。</w:t>
      </w:r>
    </w:p>
    <w:p>
      <w:pPr>
        <w:pBdr>
          <w:top w:val="none" w:color="000000" w:sz="0" w:space="0"/>
          <w:left w:val="none" w:color="000000" w:sz="0" w:space="0"/>
          <w:bottom w:val="none" w:color="000000" w:sz="0" w:space="0"/>
          <w:right w:val="none" w:color="000000" w:sz="0" w:space="1"/>
          <w:between w:val="none" w:color="000000" w:sz="0" w:space="0"/>
        </w:pBdr>
        <w:ind w:firstLine="627"/>
        <w:rPr>
          <w:rFonts w:ascii="宋体" w:hAnsi="宋体" w:eastAsia="仿宋_GB2312"/>
          <w:sz w:val="32"/>
          <w:szCs w:val="32"/>
        </w:rPr>
      </w:pPr>
      <w:r>
        <w:rPr>
          <w:rFonts w:hint="eastAsia" w:ascii="宋体" w:hAnsi="宋体" w:eastAsia="仿宋_GB2312"/>
          <w:sz w:val="32"/>
          <w:szCs w:val="32"/>
        </w:rPr>
        <w:t>二是继续坚持依法行政。严格落实重大事项</w:t>
      </w:r>
      <w:r>
        <w:rPr>
          <w:rFonts w:hint="eastAsia" w:ascii="宋体" w:hAnsi="宋体" w:eastAsia="仿宋_GB2312"/>
          <w:sz w:val="32"/>
          <w:szCs w:val="32"/>
          <w:lang w:eastAsia="zh-CN"/>
        </w:rPr>
        <w:t>法制审核</w:t>
      </w:r>
      <w:r>
        <w:rPr>
          <w:rFonts w:hint="eastAsia" w:ascii="宋体" w:hAnsi="宋体" w:eastAsia="仿宋_GB2312"/>
          <w:sz w:val="32"/>
          <w:szCs w:val="32"/>
        </w:rPr>
        <w:t>，引入专家论证、合法性审查、集体讨论等环节程序，提高财政法治决策的专业性、准确性和透明度。积极应对行政复议和行政诉讼，按照法定时限和程序进行妥善处理。加强规范性文件管理、合法性审核及公平竞争审核工作，确保我局出台的财政规范性文件全部合法合规。</w:t>
      </w:r>
    </w:p>
    <w:p>
      <w:pPr>
        <w:pBdr>
          <w:top w:val="none" w:color="000000" w:sz="0" w:space="0"/>
          <w:left w:val="none" w:color="000000" w:sz="0" w:space="0"/>
          <w:bottom w:val="none" w:color="000000" w:sz="0" w:space="0"/>
          <w:right w:val="none" w:color="000000" w:sz="0" w:space="1"/>
          <w:between w:val="none" w:color="000000" w:sz="0" w:space="0"/>
        </w:pBdr>
        <w:ind w:firstLine="627"/>
        <w:rPr>
          <w:rFonts w:ascii="宋体" w:hAnsi="宋体" w:eastAsia="仿宋_GB2312"/>
          <w:sz w:val="32"/>
          <w:szCs w:val="32"/>
        </w:rPr>
      </w:pPr>
      <w:r>
        <w:rPr>
          <w:rFonts w:hint="eastAsia" w:ascii="宋体" w:hAnsi="宋体" w:eastAsia="仿宋_GB2312"/>
          <w:sz w:val="32"/>
          <w:szCs w:val="32"/>
        </w:rPr>
        <w:t>三是继续加强财政普法宣传。健全完善普法宣传教育机制，普及推广相关财税法律法规，增强全局干部职工的依法理财意识。组织编印发放各类法治学习资料，进一步加大宪法、民法典及各类财税法律的普及推广力度，通过加强法治培训和普法宣传，加深财政干部对财税法律法规的理解和认识，提升法治财政建设水平。</w:t>
      </w:r>
    </w:p>
    <w:p>
      <w:pPr>
        <w:pBdr>
          <w:top w:val="none" w:color="000000" w:sz="0" w:space="0"/>
          <w:left w:val="none" w:color="000000" w:sz="0" w:space="0"/>
          <w:bottom w:val="none" w:color="000000" w:sz="0" w:space="0"/>
          <w:right w:val="none" w:color="000000" w:sz="0" w:space="1"/>
          <w:between w:val="none" w:color="000000" w:sz="0" w:space="0"/>
        </w:pBdr>
        <w:ind w:firstLine="627"/>
        <w:rPr>
          <w:rFonts w:ascii="宋体" w:hAnsi="宋体" w:eastAsia="仿宋_GB2312"/>
          <w:sz w:val="32"/>
          <w:szCs w:val="32"/>
        </w:rPr>
      </w:pPr>
    </w:p>
    <w:p>
      <w:pPr>
        <w:pBdr>
          <w:top w:val="none" w:color="000000" w:sz="0" w:space="0"/>
          <w:left w:val="none" w:color="000000" w:sz="0" w:space="0"/>
          <w:bottom w:val="none" w:color="000000" w:sz="0" w:space="0"/>
          <w:right w:val="none" w:color="000000" w:sz="0" w:space="1"/>
          <w:between w:val="none" w:color="000000" w:sz="0" w:space="0"/>
        </w:pBdr>
        <w:ind w:firstLine="627"/>
        <w:rPr>
          <w:rFonts w:ascii="宋体" w:hAnsi="宋体" w:eastAsia="仿宋_GB2312"/>
          <w:sz w:val="32"/>
          <w:szCs w:val="32"/>
        </w:rPr>
      </w:pPr>
    </w:p>
    <w:p>
      <w:pPr>
        <w:ind w:firstLine="640" w:firstLineChars="200"/>
        <w:jc w:val="left"/>
        <w:rPr>
          <w:rFonts w:ascii="宋体" w:hAnsi="宋体" w:eastAsia="仿宋_GB2312"/>
          <w:sz w:val="32"/>
          <w:szCs w:val="32"/>
        </w:rPr>
      </w:pPr>
    </w:p>
    <w:p>
      <w:pPr>
        <w:ind w:firstLine="6400" w:firstLineChars="2000"/>
        <w:rPr>
          <w:rFonts w:ascii="宋体" w:hAnsi="宋体" w:eastAsia="仿宋_GB2312"/>
          <w:sz w:val="32"/>
          <w:szCs w:val="32"/>
        </w:rPr>
      </w:pPr>
      <w:r>
        <w:rPr>
          <w:rFonts w:hint="eastAsia" w:ascii="宋体" w:hAnsi="宋体" w:eastAsia="仿宋_GB2312"/>
          <w:sz w:val="32"/>
          <w:szCs w:val="32"/>
        </w:rPr>
        <w:t>唐山市财政局</w:t>
      </w:r>
    </w:p>
    <w:p>
      <w:pPr>
        <w:ind w:firstLine="6080" w:firstLineChars="1900"/>
        <w:rPr>
          <w:rFonts w:ascii="宋体" w:hAnsi="宋体" w:eastAsia="仿宋_GB2312"/>
          <w:sz w:val="32"/>
          <w:szCs w:val="32"/>
        </w:rPr>
      </w:pPr>
      <w:r>
        <w:rPr>
          <w:rFonts w:hint="eastAsia" w:ascii="宋体" w:hAnsi="宋体" w:eastAsia="仿宋_GB2312"/>
          <w:sz w:val="32"/>
          <w:szCs w:val="32"/>
        </w:rPr>
        <w:t>2024年12月30日</w:t>
      </w:r>
    </w:p>
    <w:p>
      <w:pPr>
        <w:ind w:firstLine="640" w:firstLineChars="200"/>
        <w:rPr>
          <w:rFonts w:ascii="宋体" w:hAnsi="宋体" w:eastAsia="仿宋_GB2312"/>
          <w:sz w:val="32"/>
          <w:szCs w:val="32"/>
        </w:rPr>
      </w:pPr>
    </w:p>
    <w:sectPr>
      <w:footerReference r:id="rId3" w:type="default"/>
      <w:pgSz w:w="11906" w:h="16838"/>
      <w:pgMar w:top="2098" w:right="1588" w:bottom="1588" w:left="1588" w:header="851" w:footer="992" w:gutter="0"/>
      <w:pgNumType w:fmt="numberInDash"/>
      <w:cols w:space="425" w:num="1"/>
      <w:titlePg/>
      <w:docGrid w:type="lines" w:linePitch="571" w:charSpace="232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FreeSerif">
    <w:panose1 w:val="02020603050405020304"/>
    <w:charset w:val="00"/>
    <w:family w:val="auto"/>
    <w:pitch w:val="default"/>
    <w:sig w:usb0="E59FAFFF" w:usb1="C200FDFF" w:usb2="43501B29" w:usb3="04000043" w:csb0="600101FF" w:csb1="FFFF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713990"/>
    </w:sdtPr>
    <w:sdtEndPr>
      <w:rPr>
        <w:rFonts w:asciiTheme="minorEastAsia" w:hAnsiTheme="minorEastAsia"/>
        <w:sz w:val="28"/>
        <w:szCs w:val="28"/>
      </w:rPr>
    </w:sdtEndPr>
    <w:sdtContent>
      <w:p>
        <w:pPr>
          <w:pStyle w:val="6"/>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323"/>
  <w:drawingGridVerticalSpacing w:val="57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0EC"/>
    <w:rsid w:val="00001FDB"/>
    <w:rsid w:val="000031B8"/>
    <w:rsid w:val="00003C98"/>
    <w:rsid w:val="00004267"/>
    <w:rsid w:val="00006335"/>
    <w:rsid w:val="0000646F"/>
    <w:rsid w:val="000105F9"/>
    <w:rsid w:val="000112A0"/>
    <w:rsid w:val="00011EAF"/>
    <w:rsid w:val="00012A62"/>
    <w:rsid w:val="000149EC"/>
    <w:rsid w:val="00017508"/>
    <w:rsid w:val="000176C5"/>
    <w:rsid w:val="000176F0"/>
    <w:rsid w:val="00022565"/>
    <w:rsid w:val="00024B4C"/>
    <w:rsid w:val="000269CB"/>
    <w:rsid w:val="000274EB"/>
    <w:rsid w:val="00027A5A"/>
    <w:rsid w:val="00031275"/>
    <w:rsid w:val="00032003"/>
    <w:rsid w:val="00032722"/>
    <w:rsid w:val="000339B2"/>
    <w:rsid w:val="0004095B"/>
    <w:rsid w:val="0004118B"/>
    <w:rsid w:val="000467BE"/>
    <w:rsid w:val="00050570"/>
    <w:rsid w:val="000515B7"/>
    <w:rsid w:val="00052A06"/>
    <w:rsid w:val="000559F9"/>
    <w:rsid w:val="000560EC"/>
    <w:rsid w:val="000565F0"/>
    <w:rsid w:val="00056813"/>
    <w:rsid w:val="00057268"/>
    <w:rsid w:val="000609B9"/>
    <w:rsid w:val="00061517"/>
    <w:rsid w:val="000622CB"/>
    <w:rsid w:val="00063240"/>
    <w:rsid w:val="00065F55"/>
    <w:rsid w:val="00070DEA"/>
    <w:rsid w:val="00074139"/>
    <w:rsid w:val="00076254"/>
    <w:rsid w:val="00076E73"/>
    <w:rsid w:val="00076F2E"/>
    <w:rsid w:val="00083436"/>
    <w:rsid w:val="00085E77"/>
    <w:rsid w:val="00086DB0"/>
    <w:rsid w:val="0009105B"/>
    <w:rsid w:val="00093C8B"/>
    <w:rsid w:val="00094DA1"/>
    <w:rsid w:val="00096C5F"/>
    <w:rsid w:val="000A03A4"/>
    <w:rsid w:val="000A0B29"/>
    <w:rsid w:val="000A30A9"/>
    <w:rsid w:val="000A4CA7"/>
    <w:rsid w:val="000A5763"/>
    <w:rsid w:val="000A7947"/>
    <w:rsid w:val="000B1864"/>
    <w:rsid w:val="000B4B2A"/>
    <w:rsid w:val="000B5161"/>
    <w:rsid w:val="000B666A"/>
    <w:rsid w:val="000B745E"/>
    <w:rsid w:val="000C0C50"/>
    <w:rsid w:val="000C3E55"/>
    <w:rsid w:val="000C61C2"/>
    <w:rsid w:val="000C6815"/>
    <w:rsid w:val="000C7387"/>
    <w:rsid w:val="000C7A76"/>
    <w:rsid w:val="000D2E6C"/>
    <w:rsid w:val="000D7647"/>
    <w:rsid w:val="000E0FED"/>
    <w:rsid w:val="000E20A8"/>
    <w:rsid w:val="000E2447"/>
    <w:rsid w:val="000E3A89"/>
    <w:rsid w:val="000E3B39"/>
    <w:rsid w:val="000E4DDB"/>
    <w:rsid w:val="000E5A46"/>
    <w:rsid w:val="000E5EBD"/>
    <w:rsid w:val="000E75FB"/>
    <w:rsid w:val="000F0170"/>
    <w:rsid w:val="000F0327"/>
    <w:rsid w:val="000F1827"/>
    <w:rsid w:val="000F1B9C"/>
    <w:rsid w:val="000F2E32"/>
    <w:rsid w:val="000F59D5"/>
    <w:rsid w:val="000F779D"/>
    <w:rsid w:val="00100DEF"/>
    <w:rsid w:val="00101057"/>
    <w:rsid w:val="00102CD9"/>
    <w:rsid w:val="00106464"/>
    <w:rsid w:val="00106A1A"/>
    <w:rsid w:val="001070E6"/>
    <w:rsid w:val="00111E53"/>
    <w:rsid w:val="0011422B"/>
    <w:rsid w:val="00116C39"/>
    <w:rsid w:val="0011756A"/>
    <w:rsid w:val="001176B6"/>
    <w:rsid w:val="001227E0"/>
    <w:rsid w:val="0012546E"/>
    <w:rsid w:val="00125CA9"/>
    <w:rsid w:val="00126762"/>
    <w:rsid w:val="00127142"/>
    <w:rsid w:val="0012719C"/>
    <w:rsid w:val="001332CD"/>
    <w:rsid w:val="001406E2"/>
    <w:rsid w:val="00142C75"/>
    <w:rsid w:val="0014341F"/>
    <w:rsid w:val="00146CB9"/>
    <w:rsid w:val="00147C73"/>
    <w:rsid w:val="001508E2"/>
    <w:rsid w:val="00151694"/>
    <w:rsid w:val="001531E0"/>
    <w:rsid w:val="00153B07"/>
    <w:rsid w:val="00153BA2"/>
    <w:rsid w:val="00153DCA"/>
    <w:rsid w:val="00155D06"/>
    <w:rsid w:val="00156AF6"/>
    <w:rsid w:val="0016611D"/>
    <w:rsid w:val="00170A28"/>
    <w:rsid w:val="00170E64"/>
    <w:rsid w:val="001714D9"/>
    <w:rsid w:val="00173D30"/>
    <w:rsid w:val="00174406"/>
    <w:rsid w:val="00175CAD"/>
    <w:rsid w:val="00175E0F"/>
    <w:rsid w:val="001760C1"/>
    <w:rsid w:val="0017679F"/>
    <w:rsid w:val="00176A27"/>
    <w:rsid w:val="001801D4"/>
    <w:rsid w:val="00180319"/>
    <w:rsid w:val="00180EE7"/>
    <w:rsid w:val="00181BD5"/>
    <w:rsid w:val="00182275"/>
    <w:rsid w:val="001839D7"/>
    <w:rsid w:val="00184145"/>
    <w:rsid w:val="00187B35"/>
    <w:rsid w:val="0019100C"/>
    <w:rsid w:val="001967EB"/>
    <w:rsid w:val="00196F51"/>
    <w:rsid w:val="001A00AC"/>
    <w:rsid w:val="001A03D4"/>
    <w:rsid w:val="001A5E88"/>
    <w:rsid w:val="001A6AED"/>
    <w:rsid w:val="001B10A9"/>
    <w:rsid w:val="001B7712"/>
    <w:rsid w:val="001B7ED9"/>
    <w:rsid w:val="001C3A7C"/>
    <w:rsid w:val="001C4998"/>
    <w:rsid w:val="001D4186"/>
    <w:rsid w:val="001E2317"/>
    <w:rsid w:val="001E3251"/>
    <w:rsid w:val="001E4814"/>
    <w:rsid w:val="001F0C8B"/>
    <w:rsid w:val="001F0D07"/>
    <w:rsid w:val="001F0DF3"/>
    <w:rsid w:val="001F2891"/>
    <w:rsid w:val="001F3A75"/>
    <w:rsid w:val="001F3E95"/>
    <w:rsid w:val="001F4423"/>
    <w:rsid w:val="001F4881"/>
    <w:rsid w:val="00202041"/>
    <w:rsid w:val="0020301F"/>
    <w:rsid w:val="0020515F"/>
    <w:rsid w:val="00205B67"/>
    <w:rsid w:val="0020795F"/>
    <w:rsid w:val="00210B55"/>
    <w:rsid w:val="002118DD"/>
    <w:rsid w:val="00213FB6"/>
    <w:rsid w:val="00216EFF"/>
    <w:rsid w:val="00220C45"/>
    <w:rsid w:val="00221A3C"/>
    <w:rsid w:val="00222833"/>
    <w:rsid w:val="00223932"/>
    <w:rsid w:val="0022559F"/>
    <w:rsid w:val="002305BE"/>
    <w:rsid w:val="002334FF"/>
    <w:rsid w:val="002353E2"/>
    <w:rsid w:val="002355DE"/>
    <w:rsid w:val="00240F1B"/>
    <w:rsid w:val="00241B05"/>
    <w:rsid w:val="00243C95"/>
    <w:rsid w:val="002458B1"/>
    <w:rsid w:val="00252FB6"/>
    <w:rsid w:val="00253BCF"/>
    <w:rsid w:val="002624F6"/>
    <w:rsid w:val="00262BD8"/>
    <w:rsid w:val="00264F0A"/>
    <w:rsid w:val="0026517A"/>
    <w:rsid w:val="0026538B"/>
    <w:rsid w:val="00270FD2"/>
    <w:rsid w:val="00271D4F"/>
    <w:rsid w:val="00271DBA"/>
    <w:rsid w:val="0027221A"/>
    <w:rsid w:val="00272DDD"/>
    <w:rsid w:val="00274A6C"/>
    <w:rsid w:val="0027510F"/>
    <w:rsid w:val="002760FB"/>
    <w:rsid w:val="00280FB0"/>
    <w:rsid w:val="0028116A"/>
    <w:rsid w:val="002839C3"/>
    <w:rsid w:val="0029017F"/>
    <w:rsid w:val="002908D5"/>
    <w:rsid w:val="00292669"/>
    <w:rsid w:val="00293ED3"/>
    <w:rsid w:val="00293F11"/>
    <w:rsid w:val="002941C3"/>
    <w:rsid w:val="00294841"/>
    <w:rsid w:val="002958E0"/>
    <w:rsid w:val="00295B07"/>
    <w:rsid w:val="00295D79"/>
    <w:rsid w:val="00296D50"/>
    <w:rsid w:val="00297DBB"/>
    <w:rsid w:val="002A2CEF"/>
    <w:rsid w:val="002A2CF7"/>
    <w:rsid w:val="002A4B7D"/>
    <w:rsid w:val="002A63C6"/>
    <w:rsid w:val="002A78ED"/>
    <w:rsid w:val="002B0697"/>
    <w:rsid w:val="002B0974"/>
    <w:rsid w:val="002B0E36"/>
    <w:rsid w:val="002B0E60"/>
    <w:rsid w:val="002B1336"/>
    <w:rsid w:val="002B70A6"/>
    <w:rsid w:val="002C0B9C"/>
    <w:rsid w:val="002C19CB"/>
    <w:rsid w:val="002C1CC4"/>
    <w:rsid w:val="002C1F90"/>
    <w:rsid w:val="002C388F"/>
    <w:rsid w:val="002C580F"/>
    <w:rsid w:val="002C5FA9"/>
    <w:rsid w:val="002D13E3"/>
    <w:rsid w:val="002D256F"/>
    <w:rsid w:val="002D47C2"/>
    <w:rsid w:val="002D515F"/>
    <w:rsid w:val="002D6AE5"/>
    <w:rsid w:val="002E0D9B"/>
    <w:rsid w:val="002E51FB"/>
    <w:rsid w:val="002E5376"/>
    <w:rsid w:val="002F673D"/>
    <w:rsid w:val="00300707"/>
    <w:rsid w:val="00301537"/>
    <w:rsid w:val="0030208F"/>
    <w:rsid w:val="0030427C"/>
    <w:rsid w:val="00307CED"/>
    <w:rsid w:val="00311502"/>
    <w:rsid w:val="00311A97"/>
    <w:rsid w:val="00314F73"/>
    <w:rsid w:val="003151F6"/>
    <w:rsid w:val="00322333"/>
    <w:rsid w:val="003224D5"/>
    <w:rsid w:val="00324142"/>
    <w:rsid w:val="00324644"/>
    <w:rsid w:val="003270AF"/>
    <w:rsid w:val="00330980"/>
    <w:rsid w:val="00330BEA"/>
    <w:rsid w:val="00331333"/>
    <w:rsid w:val="003350D1"/>
    <w:rsid w:val="0033528E"/>
    <w:rsid w:val="00341C0B"/>
    <w:rsid w:val="003441D3"/>
    <w:rsid w:val="00345C56"/>
    <w:rsid w:val="00346704"/>
    <w:rsid w:val="00346C04"/>
    <w:rsid w:val="00355395"/>
    <w:rsid w:val="003644C1"/>
    <w:rsid w:val="00364A2A"/>
    <w:rsid w:val="00370B5C"/>
    <w:rsid w:val="003712B4"/>
    <w:rsid w:val="00372D98"/>
    <w:rsid w:val="00373627"/>
    <w:rsid w:val="003738C5"/>
    <w:rsid w:val="00376AC5"/>
    <w:rsid w:val="0038116B"/>
    <w:rsid w:val="00382810"/>
    <w:rsid w:val="00382B9A"/>
    <w:rsid w:val="00385D61"/>
    <w:rsid w:val="00387529"/>
    <w:rsid w:val="003879B7"/>
    <w:rsid w:val="00387F5F"/>
    <w:rsid w:val="00391E84"/>
    <w:rsid w:val="0039333C"/>
    <w:rsid w:val="0039556C"/>
    <w:rsid w:val="00395793"/>
    <w:rsid w:val="00395C5A"/>
    <w:rsid w:val="00397DBB"/>
    <w:rsid w:val="003A37E5"/>
    <w:rsid w:val="003A3DA1"/>
    <w:rsid w:val="003A40A2"/>
    <w:rsid w:val="003A579D"/>
    <w:rsid w:val="003A5D91"/>
    <w:rsid w:val="003A60A5"/>
    <w:rsid w:val="003A6786"/>
    <w:rsid w:val="003A69CA"/>
    <w:rsid w:val="003A6C3F"/>
    <w:rsid w:val="003B4106"/>
    <w:rsid w:val="003B4C44"/>
    <w:rsid w:val="003B5FD7"/>
    <w:rsid w:val="003B614F"/>
    <w:rsid w:val="003C13F6"/>
    <w:rsid w:val="003C14DE"/>
    <w:rsid w:val="003C40C5"/>
    <w:rsid w:val="003C4EEF"/>
    <w:rsid w:val="003C5E90"/>
    <w:rsid w:val="003D276C"/>
    <w:rsid w:val="003D389F"/>
    <w:rsid w:val="003D3A19"/>
    <w:rsid w:val="003D3C5D"/>
    <w:rsid w:val="003D444F"/>
    <w:rsid w:val="003D48B1"/>
    <w:rsid w:val="003E0801"/>
    <w:rsid w:val="003E33FC"/>
    <w:rsid w:val="003E4860"/>
    <w:rsid w:val="003E4E50"/>
    <w:rsid w:val="003F33C7"/>
    <w:rsid w:val="00402CE1"/>
    <w:rsid w:val="0040333F"/>
    <w:rsid w:val="00405B91"/>
    <w:rsid w:val="0041068D"/>
    <w:rsid w:val="00413ADA"/>
    <w:rsid w:val="004159D5"/>
    <w:rsid w:val="00420923"/>
    <w:rsid w:val="004212DE"/>
    <w:rsid w:val="00423125"/>
    <w:rsid w:val="004240C1"/>
    <w:rsid w:val="004241DB"/>
    <w:rsid w:val="00425C15"/>
    <w:rsid w:val="00426691"/>
    <w:rsid w:val="00426F3F"/>
    <w:rsid w:val="004276DE"/>
    <w:rsid w:val="00430517"/>
    <w:rsid w:val="004341CB"/>
    <w:rsid w:val="004373E5"/>
    <w:rsid w:val="00437E4F"/>
    <w:rsid w:val="0044065A"/>
    <w:rsid w:val="004425E5"/>
    <w:rsid w:val="00442C70"/>
    <w:rsid w:val="00443A3B"/>
    <w:rsid w:val="0044460B"/>
    <w:rsid w:val="0044473B"/>
    <w:rsid w:val="00451A60"/>
    <w:rsid w:val="00451DF6"/>
    <w:rsid w:val="00453E61"/>
    <w:rsid w:val="00455054"/>
    <w:rsid w:val="0045706A"/>
    <w:rsid w:val="00457FD0"/>
    <w:rsid w:val="00460858"/>
    <w:rsid w:val="00462C8F"/>
    <w:rsid w:val="0046326D"/>
    <w:rsid w:val="00464817"/>
    <w:rsid w:val="00472290"/>
    <w:rsid w:val="00472E1D"/>
    <w:rsid w:val="00473B8E"/>
    <w:rsid w:val="00473D40"/>
    <w:rsid w:val="00475197"/>
    <w:rsid w:val="004779BF"/>
    <w:rsid w:val="00477DA5"/>
    <w:rsid w:val="00480C05"/>
    <w:rsid w:val="00480CFE"/>
    <w:rsid w:val="00482E63"/>
    <w:rsid w:val="004833A5"/>
    <w:rsid w:val="004845F4"/>
    <w:rsid w:val="0048746B"/>
    <w:rsid w:val="00487754"/>
    <w:rsid w:val="0049115E"/>
    <w:rsid w:val="004945A0"/>
    <w:rsid w:val="00496531"/>
    <w:rsid w:val="00497A4F"/>
    <w:rsid w:val="004A1CBE"/>
    <w:rsid w:val="004A33BA"/>
    <w:rsid w:val="004A37AF"/>
    <w:rsid w:val="004A4C12"/>
    <w:rsid w:val="004A5741"/>
    <w:rsid w:val="004B311C"/>
    <w:rsid w:val="004B3DDA"/>
    <w:rsid w:val="004B62BF"/>
    <w:rsid w:val="004C058E"/>
    <w:rsid w:val="004C1D0E"/>
    <w:rsid w:val="004C2D36"/>
    <w:rsid w:val="004C39D0"/>
    <w:rsid w:val="004C3DC6"/>
    <w:rsid w:val="004C456A"/>
    <w:rsid w:val="004C7304"/>
    <w:rsid w:val="004D3249"/>
    <w:rsid w:val="004D439C"/>
    <w:rsid w:val="004D44F0"/>
    <w:rsid w:val="004D4B18"/>
    <w:rsid w:val="004D4F55"/>
    <w:rsid w:val="004D59DD"/>
    <w:rsid w:val="004D6604"/>
    <w:rsid w:val="004D7398"/>
    <w:rsid w:val="004E11D1"/>
    <w:rsid w:val="004E1A27"/>
    <w:rsid w:val="004E1C3A"/>
    <w:rsid w:val="004E39CC"/>
    <w:rsid w:val="004E3AD4"/>
    <w:rsid w:val="004E4580"/>
    <w:rsid w:val="004E4FBE"/>
    <w:rsid w:val="004F16F7"/>
    <w:rsid w:val="004F2DB1"/>
    <w:rsid w:val="004F2FEF"/>
    <w:rsid w:val="004F3AC5"/>
    <w:rsid w:val="004F668F"/>
    <w:rsid w:val="004F7B8E"/>
    <w:rsid w:val="005020F7"/>
    <w:rsid w:val="0050479B"/>
    <w:rsid w:val="00505F70"/>
    <w:rsid w:val="005061B4"/>
    <w:rsid w:val="005062E9"/>
    <w:rsid w:val="005114A6"/>
    <w:rsid w:val="0051361A"/>
    <w:rsid w:val="005137A7"/>
    <w:rsid w:val="00522AEA"/>
    <w:rsid w:val="00523523"/>
    <w:rsid w:val="00523FB7"/>
    <w:rsid w:val="00524BAD"/>
    <w:rsid w:val="005267E4"/>
    <w:rsid w:val="00527B22"/>
    <w:rsid w:val="00532DF9"/>
    <w:rsid w:val="00533E2A"/>
    <w:rsid w:val="005374A8"/>
    <w:rsid w:val="00540D50"/>
    <w:rsid w:val="005412D5"/>
    <w:rsid w:val="0054415C"/>
    <w:rsid w:val="00544FEE"/>
    <w:rsid w:val="00547945"/>
    <w:rsid w:val="00550F8F"/>
    <w:rsid w:val="005513A4"/>
    <w:rsid w:val="00551585"/>
    <w:rsid w:val="005525C5"/>
    <w:rsid w:val="00553234"/>
    <w:rsid w:val="00555C48"/>
    <w:rsid w:val="005567B1"/>
    <w:rsid w:val="005609B1"/>
    <w:rsid w:val="005610ED"/>
    <w:rsid w:val="00565E7D"/>
    <w:rsid w:val="00567857"/>
    <w:rsid w:val="00570FF0"/>
    <w:rsid w:val="005740A3"/>
    <w:rsid w:val="00574881"/>
    <w:rsid w:val="005761ED"/>
    <w:rsid w:val="00577421"/>
    <w:rsid w:val="00577954"/>
    <w:rsid w:val="00584B21"/>
    <w:rsid w:val="0058762D"/>
    <w:rsid w:val="0059245B"/>
    <w:rsid w:val="00592466"/>
    <w:rsid w:val="00593070"/>
    <w:rsid w:val="0059354C"/>
    <w:rsid w:val="00593F71"/>
    <w:rsid w:val="00595003"/>
    <w:rsid w:val="00597792"/>
    <w:rsid w:val="005A02FE"/>
    <w:rsid w:val="005A10DB"/>
    <w:rsid w:val="005B06B5"/>
    <w:rsid w:val="005B0E6E"/>
    <w:rsid w:val="005B0F6D"/>
    <w:rsid w:val="005B1EF7"/>
    <w:rsid w:val="005B3BF1"/>
    <w:rsid w:val="005B403B"/>
    <w:rsid w:val="005B4D95"/>
    <w:rsid w:val="005C2770"/>
    <w:rsid w:val="005C57D5"/>
    <w:rsid w:val="005C5C29"/>
    <w:rsid w:val="005D11FC"/>
    <w:rsid w:val="005D2918"/>
    <w:rsid w:val="005D2A96"/>
    <w:rsid w:val="005D2E28"/>
    <w:rsid w:val="005D47AE"/>
    <w:rsid w:val="005D6347"/>
    <w:rsid w:val="005D77CA"/>
    <w:rsid w:val="005E0BAF"/>
    <w:rsid w:val="005E4DEB"/>
    <w:rsid w:val="005E5611"/>
    <w:rsid w:val="005F21BE"/>
    <w:rsid w:val="005F46BD"/>
    <w:rsid w:val="005F4B49"/>
    <w:rsid w:val="005F571B"/>
    <w:rsid w:val="006009F7"/>
    <w:rsid w:val="00600D84"/>
    <w:rsid w:val="006012DD"/>
    <w:rsid w:val="00604094"/>
    <w:rsid w:val="00606565"/>
    <w:rsid w:val="00606CE5"/>
    <w:rsid w:val="00615624"/>
    <w:rsid w:val="00616D50"/>
    <w:rsid w:val="0061724A"/>
    <w:rsid w:val="00617AF8"/>
    <w:rsid w:val="0062105F"/>
    <w:rsid w:val="006214EA"/>
    <w:rsid w:val="006236D4"/>
    <w:rsid w:val="00624FD9"/>
    <w:rsid w:val="00626136"/>
    <w:rsid w:val="006276A9"/>
    <w:rsid w:val="00627AFE"/>
    <w:rsid w:val="0063005B"/>
    <w:rsid w:val="006321CC"/>
    <w:rsid w:val="00634E05"/>
    <w:rsid w:val="00637269"/>
    <w:rsid w:val="00637BED"/>
    <w:rsid w:val="00637C6C"/>
    <w:rsid w:val="00640802"/>
    <w:rsid w:val="0064155A"/>
    <w:rsid w:val="0064294D"/>
    <w:rsid w:val="00642970"/>
    <w:rsid w:val="006445F3"/>
    <w:rsid w:val="00644E38"/>
    <w:rsid w:val="00647493"/>
    <w:rsid w:val="006476BA"/>
    <w:rsid w:val="006514CB"/>
    <w:rsid w:val="00654A1B"/>
    <w:rsid w:val="006631B8"/>
    <w:rsid w:val="00666A1D"/>
    <w:rsid w:val="00670AD3"/>
    <w:rsid w:val="00670FC2"/>
    <w:rsid w:val="006712F9"/>
    <w:rsid w:val="00672214"/>
    <w:rsid w:val="00677B1D"/>
    <w:rsid w:val="00682083"/>
    <w:rsid w:val="00682DA8"/>
    <w:rsid w:val="006833CE"/>
    <w:rsid w:val="0068670B"/>
    <w:rsid w:val="00687324"/>
    <w:rsid w:val="006879A4"/>
    <w:rsid w:val="00687B08"/>
    <w:rsid w:val="00687C5B"/>
    <w:rsid w:val="00690F42"/>
    <w:rsid w:val="00692660"/>
    <w:rsid w:val="00692B5A"/>
    <w:rsid w:val="006A0512"/>
    <w:rsid w:val="006A4719"/>
    <w:rsid w:val="006A648A"/>
    <w:rsid w:val="006A6758"/>
    <w:rsid w:val="006A6996"/>
    <w:rsid w:val="006A7BBC"/>
    <w:rsid w:val="006B0E36"/>
    <w:rsid w:val="006B1845"/>
    <w:rsid w:val="006B379C"/>
    <w:rsid w:val="006B50F8"/>
    <w:rsid w:val="006C2716"/>
    <w:rsid w:val="006C578B"/>
    <w:rsid w:val="006D0B62"/>
    <w:rsid w:val="006D5B5D"/>
    <w:rsid w:val="006D72AD"/>
    <w:rsid w:val="006D778E"/>
    <w:rsid w:val="006E24FD"/>
    <w:rsid w:val="006E2852"/>
    <w:rsid w:val="006E5123"/>
    <w:rsid w:val="006E6CA8"/>
    <w:rsid w:val="006E7FDA"/>
    <w:rsid w:val="006F0509"/>
    <w:rsid w:val="006F11B0"/>
    <w:rsid w:val="006F2CB9"/>
    <w:rsid w:val="006F59CC"/>
    <w:rsid w:val="006F6ED6"/>
    <w:rsid w:val="00700573"/>
    <w:rsid w:val="0070342A"/>
    <w:rsid w:val="00707999"/>
    <w:rsid w:val="00710B70"/>
    <w:rsid w:val="00712CDB"/>
    <w:rsid w:val="00713021"/>
    <w:rsid w:val="00713E9D"/>
    <w:rsid w:val="007140F4"/>
    <w:rsid w:val="007163EC"/>
    <w:rsid w:val="00716ECF"/>
    <w:rsid w:val="00720320"/>
    <w:rsid w:val="00720BBB"/>
    <w:rsid w:val="007212DC"/>
    <w:rsid w:val="007225E2"/>
    <w:rsid w:val="007235D4"/>
    <w:rsid w:val="00724B84"/>
    <w:rsid w:val="00726662"/>
    <w:rsid w:val="007273AF"/>
    <w:rsid w:val="00732009"/>
    <w:rsid w:val="00732805"/>
    <w:rsid w:val="00734428"/>
    <w:rsid w:val="0074430A"/>
    <w:rsid w:val="00746FF5"/>
    <w:rsid w:val="00753C1E"/>
    <w:rsid w:val="0075464A"/>
    <w:rsid w:val="00754B49"/>
    <w:rsid w:val="00755676"/>
    <w:rsid w:val="00756067"/>
    <w:rsid w:val="00757338"/>
    <w:rsid w:val="00760D40"/>
    <w:rsid w:val="00761133"/>
    <w:rsid w:val="007623C5"/>
    <w:rsid w:val="0076253F"/>
    <w:rsid w:val="00762971"/>
    <w:rsid w:val="00762CE0"/>
    <w:rsid w:val="007631D9"/>
    <w:rsid w:val="00766C43"/>
    <w:rsid w:val="00771B4A"/>
    <w:rsid w:val="00772769"/>
    <w:rsid w:val="00774430"/>
    <w:rsid w:val="0077448D"/>
    <w:rsid w:val="00776C8F"/>
    <w:rsid w:val="007813C6"/>
    <w:rsid w:val="00781776"/>
    <w:rsid w:val="00782545"/>
    <w:rsid w:val="00785B84"/>
    <w:rsid w:val="00785CCF"/>
    <w:rsid w:val="00786B8B"/>
    <w:rsid w:val="007876B8"/>
    <w:rsid w:val="00790B1D"/>
    <w:rsid w:val="00791974"/>
    <w:rsid w:val="00791B52"/>
    <w:rsid w:val="00793285"/>
    <w:rsid w:val="00795B65"/>
    <w:rsid w:val="00795F8F"/>
    <w:rsid w:val="007A1110"/>
    <w:rsid w:val="007A120C"/>
    <w:rsid w:val="007A1610"/>
    <w:rsid w:val="007A2DDE"/>
    <w:rsid w:val="007A2E84"/>
    <w:rsid w:val="007A4DF2"/>
    <w:rsid w:val="007A4E0F"/>
    <w:rsid w:val="007A5CF2"/>
    <w:rsid w:val="007A75C9"/>
    <w:rsid w:val="007B1926"/>
    <w:rsid w:val="007B2391"/>
    <w:rsid w:val="007B3863"/>
    <w:rsid w:val="007B5B4B"/>
    <w:rsid w:val="007B7664"/>
    <w:rsid w:val="007C064A"/>
    <w:rsid w:val="007C3266"/>
    <w:rsid w:val="007C40F5"/>
    <w:rsid w:val="007C4E88"/>
    <w:rsid w:val="007C5FDC"/>
    <w:rsid w:val="007C60E5"/>
    <w:rsid w:val="007D37A1"/>
    <w:rsid w:val="007D73FC"/>
    <w:rsid w:val="007D76F6"/>
    <w:rsid w:val="007E3F39"/>
    <w:rsid w:val="007E552D"/>
    <w:rsid w:val="007E5EEC"/>
    <w:rsid w:val="007F10C0"/>
    <w:rsid w:val="007F20FB"/>
    <w:rsid w:val="007F36A2"/>
    <w:rsid w:val="007F51B2"/>
    <w:rsid w:val="007F66AB"/>
    <w:rsid w:val="008017E1"/>
    <w:rsid w:val="00805929"/>
    <w:rsid w:val="00807707"/>
    <w:rsid w:val="008129F3"/>
    <w:rsid w:val="00814378"/>
    <w:rsid w:val="00814B83"/>
    <w:rsid w:val="00815305"/>
    <w:rsid w:val="00815AB7"/>
    <w:rsid w:val="00815C2D"/>
    <w:rsid w:val="00820DF4"/>
    <w:rsid w:val="00821C37"/>
    <w:rsid w:val="0082201E"/>
    <w:rsid w:val="0082316D"/>
    <w:rsid w:val="008249FD"/>
    <w:rsid w:val="00824C53"/>
    <w:rsid w:val="008307BA"/>
    <w:rsid w:val="00834509"/>
    <w:rsid w:val="00834AD3"/>
    <w:rsid w:val="0083683A"/>
    <w:rsid w:val="008400F5"/>
    <w:rsid w:val="0084261F"/>
    <w:rsid w:val="00842786"/>
    <w:rsid w:val="00842DC5"/>
    <w:rsid w:val="008432F3"/>
    <w:rsid w:val="00844F8A"/>
    <w:rsid w:val="0084680F"/>
    <w:rsid w:val="00852792"/>
    <w:rsid w:val="00853A87"/>
    <w:rsid w:val="00861F68"/>
    <w:rsid w:val="00865424"/>
    <w:rsid w:val="00865A2F"/>
    <w:rsid w:val="008667C4"/>
    <w:rsid w:val="00867F6C"/>
    <w:rsid w:val="00870F06"/>
    <w:rsid w:val="008713F6"/>
    <w:rsid w:val="008729D3"/>
    <w:rsid w:val="00872B94"/>
    <w:rsid w:val="00873D8F"/>
    <w:rsid w:val="00877339"/>
    <w:rsid w:val="0088091D"/>
    <w:rsid w:val="00881D41"/>
    <w:rsid w:val="00882786"/>
    <w:rsid w:val="00882E4B"/>
    <w:rsid w:val="00883D45"/>
    <w:rsid w:val="008870F7"/>
    <w:rsid w:val="00887469"/>
    <w:rsid w:val="008874FD"/>
    <w:rsid w:val="00891CBD"/>
    <w:rsid w:val="0089256E"/>
    <w:rsid w:val="00892D90"/>
    <w:rsid w:val="008A150E"/>
    <w:rsid w:val="008A301A"/>
    <w:rsid w:val="008B0955"/>
    <w:rsid w:val="008B1389"/>
    <w:rsid w:val="008B1F0A"/>
    <w:rsid w:val="008B2ABD"/>
    <w:rsid w:val="008B33F6"/>
    <w:rsid w:val="008C1484"/>
    <w:rsid w:val="008C1B77"/>
    <w:rsid w:val="008C316E"/>
    <w:rsid w:val="008C37C9"/>
    <w:rsid w:val="008C6429"/>
    <w:rsid w:val="008C6C0E"/>
    <w:rsid w:val="008D7BED"/>
    <w:rsid w:val="008E0BC8"/>
    <w:rsid w:val="008E0E47"/>
    <w:rsid w:val="008E50DD"/>
    <w:rsid w:val="00900080"/>
    <w:rsid w:val="00901B44"/>
    <w:rsid w:val="00904561"/>
    <w:rsid w:val="00907EC9"/>
    <w:rsid w:val="00910E5F"/>
    <w:rsid w:val="009125A0"/>
    <w:rsid w:val="00913BA8"/>
    <w:rsid w:val="009165E5"/>
    <w:rsid w:val="009241AF"/>
    <w:rsid w:val="009312CC"/>
    <w:rsid w:val="009365F2"/>
    <w:rsid w:val="00940986"/>
    <w:rsid w:val="00942ACF"/>
    <w:rsid w:val="00943A80"/>
    <w:rsid w:val="00945FAD"/>
    <w:rsid w:val="009469C6"/>
    <w:rsid w:val="009520A9"/>
    <w:rsid w:val="00953372"/>
    <w:rsid w:val="009547B4"/>
    <w:rsid w:val="00956072"/>
    <w:rsid w:val="00957641"/>
    <w:rsid w:val="00960F28"/>
    <w:rsid w:val="00960FC1"/>
    <w:rsid w:val="0096157E"/>
    <w:rsid w:val="0096505B"/>
    <w:rsid w:val="00971B8F"/>
    <w:rsid w:val="00976535"/>
    <w:rsid w:val="00981A8A"/>
    <w:rsid w:val="00981BC3"/>
    <w:rsid w:val="00982110"/>
    <w:rsid w:val="009829A8"/>
    <w:rsid w:val="00982EDF"/>
    <w:rsid w:val="00983CDE"/>
    <w:rsid w:val="00984026"/>
    <w:rsid w:val="009867D5"/>
    <w:rsid w:val="00986CDC"/>
    <w:rsid w:val="009902BD"/>
    <w:rsid w:val="00992239"/>
    <w:rsid w:val="00995446"/>
    <w:rsid w:val="00995608"/>
    <w:rsid w:val="009A086A"/>
    <w:rsid w:val="009A1F3D"/>
    <w:rsid w:val="009A25B5"/>
    <w:rsid w:val="009A4471"/>
    <w:rsid w:val="009A48A3"/>
    <w:rsid w:val="009A683F"/>
    <w:rsid w:val="009B0F77"/>
    <w:rsid w:val="009B193F"/>
    <w:rsid w:val="009B24AB"/>
    <w:rsid w:val="009B309A"/>
    <w:rsid w:val="009B7E0B"/>
    <w:rsid w:val="009C1163"/>
    <w:rsid w:val="009C1FE2"/>
    <w:rsid w:val="009C30D7"/>
    <w:rsid w:val="009C4B1C"/>
    <w:rsid w:val="009C7BA4"/>
    <w:rsid w:val="009D1384"/>
    <w:rsid w:val="009D2BB9"/>
    <w:rsid w:val="009D4A7A"/>
    <w:rsid w:val="009D7EB8"/>
    <w:rsid w:val="009D7EF3"/>
    <w:rsid w:val="009E2417"/>
    <w:rsid w:val="009E26B0"/>
    <w:rsid w:val="009E2AF1"/>
    <w:rsid w:val="009E2CC7"/>
    <w:rsid w:val="009E2E41"/>
    <w:rsid w:val="009E78AE"/>
    <w:rsid w:val="009E7D20"/>
    <w:rsid w:val="009F0BB2"/>
    <w:rsid w:val="009F1E5B"/>
    <w:rsid w:val="009F55BC"/>
    <w:rsid w:val="00A00090"/>
    <w:rsid w:val="00A0050D"/>
    <w:rsid w:val="00A0445B"/>
    <w:rsid w:val="00A066C0"/>
    <w:rsid w:val="00A12881"/>
    <w:rsid w:val="00A148DD"/>
    <w:rsid w:val="00A14BB8"/>
    <w:rsid w:val="00A14DAB"/>
    <w:rsid w:val="00A15394"/>
    <w:rsid w:val="00A16004"/>
    <w:rsid w:val="00A16157"/>
    <w:rsid w:val="00A206A2"/>
    <w:rsid w:val="00A2604A"/>
    <w:rsid w:val="00A26893"/>
    <w:rsid w:val="00A27EFF"/>
    <w:rsid w:val="00A32C6E"/>
    <w:rsid w:val="00A34A7F"/>
    <w:rsid w:val="00A353E5"/>
    <w:rsid w:val="00A364AD"/>
    <w:rsid w:val="00A4127A"/>
    <w:rsid w:val="00A43406"/>
    <w:rsid w:val="00A4422E"/>
    <w:rsid w:val="00A4785B"/>
    <w:rsid w:val="00A5070D"/>
    <w:rsid w:val="00A527FF"/>
    <w:rsid w:val="00A52A0F"/>
    <w:rsid w:val="00A55718"/>
    <w:rsid w:val="00A55E4D"/>
    <w:rsid w:val="00A56FFC"/>
    <w:rsid w:val="00A57EA7"/>
    <w:rsid w:val="00A60748"/>
    <w:rsid w:val="00A65C0D"/>
    <w:rsid w:val="00A65C9C"/>
    <w:rsid w:val="00A65D28"/>
    <w:rsid w:val="00A668FA"/>
    <w:rsid w:val="00A70C34"/>
    <w:rsid w:val="00A7215D"/>
    <w:rsid w:val="00A73F16"/>
    <w:rsid w:val="00A8002F"/>
    <w:rsid w:val="00A8082B"/>
    <w:rsid w:val="00A80AB4"/>
    <w:rsid w:val="00A812C8"/>
    <w:rsid w:val="00A861FF"/>
    <w:rsid w:val="00A87484"/>
    <w:rsid w:val="00A878A7"/>
    <w:rsid w:val="00A9034D"/>
    <w:rsid w:val="00A91A69"/>
    <w:rsid w:val="00A935F6"/>
    <w:rsid w:val="00AA0AB0"/>
    <w:rsid w:val="00AA17F5"/>
    <w:rsid w:val="00AA1CD8"/>
    <w:rsid w:val="00AA40D9"/>
    <w:rsid w:val="00AB0ADF"/>
    <w:rsid w:val="00AB0E5C"/>
    <w:rsid w:val="00AB2193"/>
    <w:rsid w:val="00AB2408"/>
    <w:rsid w:val="00AB29FD"/>
    <w:rsid w:val="00AB36A5"/>
    <w:rsid w:val="00AB3C5F"/>
    <w:rsid w:val="00AB6A28"/>
    <w:rsid w:val="00AB7419"/>
    <w:rsid w:val="00AC10A3"/>
    <w:rsid w:val="00AC255A"/>
    <w:rsid w:val="00AC26DA"/>
    <w:rsid w:val="00AC5BDD"/>
    <w:rsid w:val="00AC5FFA"/>
    <w:rsid w:val="00AC6C02"/>
    <w:rsid w:val="00AC73BA"/>
    <w:rsid w:val="00AC75FC"/>
    <w:rsid w:val="00AC7C40"/>
    <w:rsid w:val="00AD2894"/>
    <w:rsid w:val="00AD47AC"/>
    <w:rsid w:val="00AD6A33"/>
    <w:rsid w:val="00AD732A"/>
    <w:rsid w:val="00AE0527"/>
    <w:rsid w:val="00AE0712"/>
    <w:rsid w:val="00AE2103"/>
    <w:rsid w:val="00AE3792"/>
    <w:rsid w:val="00AF3596"/>
    <w:rsid w:val="00AF748F"/>
    <w:rsid w:val="00B00979"/>
    <w:rsid w:val="00B01994"/>
    <w:rsid w:val="00B01B46"/>
    <w:rsid w:val="00B05372"/>
    <w:rsid w:val="00B11E50"/>
    <w:rsid w:val="00B12901"/>
    <w:rsid w:val="00B20243"/>
    <w:rsid w:val="00B21423"/>
    <w:rsid w:val="00B24AB6"/>
    <w:rsid w:val="00B26090"/>
    <w:rsid w:val="00B318FF"/>
    <w:rsid w:val="00B32C33"/>
    <w:rsid w:val="00B34C82"/>
    <w:rsid w:val="00B34EBC"/>
    <w:rsid w:val="00B34FC1"/>
    <w:rsid w:val="00B36207"/>
    <w:rsid w:val="00B36FA0"/>
    <w:rsid w:val="00B3731A"/>
    <w:rsid w:val="00B376F4"/>
    <w:rsid w:val="00B41ABE"/>
    <w:rsid w:val="00B4491F"/>
    <w:rsid w:val="00B450D8"/>
    <w:rsid w:val="00B45144"/>
    <w:rsid w:val="00B50CB6"/>
    <w:rsid w:val="00B50ECD"/>
    <w:rsid w:val="00B51FF7"/>
    <w:rsid w:val="00B536A3"/>
    <w:rsid w:val="00B5487F"/>
    <w:rsid w:val="00B5623C"/>
    <w:rsid w:val="00B56B60"/>
    <w:rsid w:val="00B56D02"/>
    <w:rsid w:val="00B5789D"/>
    <w:rsid w:val="00B60AB0"/>
    <w:rsid w:val="00B60E55"/>
    <w:rsid w:val="00B65A1D"/>
    <w:rsid w:val="00B66374"/>
    <w:rsid w:val="00B66C93"/>
    <w:rsid w:val="00B70139"/>
    <w:rsid w:val="00B7524A"/>
    <w:rsid w:val="00B75B9B"/>
    <w:rsid w:val="00B75C8D"/>
    <w:rsid w:val="00B76563"/>
    <w:rsid w:val="00B80755"/>
    <w:rsid w:val="00B809D0"/>
    <w:rsid w:val="00B80D85"/>
    <w:rsid w:val="00B812D2"/>
    <w:rsid w:val="00B8448B"/>
    <w:rsid w:val="00B86A43"/>
    <w:rsid w:val="00B8745C"/>
    <w:rsid w:val="00B92EFE"/>
    <w:rsid w:val="00B97B91"/>
    <w:rsid w:val="00BA063A"/>
    <w:rsid w:val="00BA3911"/>
    <w:rsid w:val="00BA433E"/>
    <w:rsid w:val="00BA7C8F"/>
    <w:rsid w:val="00BC211E"/>
    <w:rsid w:val="00BC356E"/>
    <w:rsid w:val="00BC604F"/>
    <w:rsid w:val="00BD3573"/>
    <w:rsid w:val="00BD47F8"/>
    <w:rsid w:val="00BD5764"/>
    <w:rsid w:val="00BD7A26"/>
    <w:rsid w:val="00BE456E"/>
    <w:rsid w:val="00BE4719"/>
    <w:rsid w:val="00BE5614"/>
    <w:rsid w:val="00BE6319"/>
    <w:rsid w:val="00BE7E86"/>
    <w:rsid w:val="00BF36C5"/>
    <w:rsid w:val="00BF3E7B"/>
    <w:rsid w:val="00BF577F"/>
    <w:rsid w:val="00C03808"/>
    <w:rsid w:val="00C055DD"/>
    <w:rsid w:val="00C12472"/>
    <w:rsid w:val="00C12F17"/>
    <w:rsid w:val="00C136D2"/>
    <w:rsid w:val="00C16E19"/>
    <w:rsid w:val="00C2064A"/>
    <w:rsid w:val="00C21DAF"/>
    <w:rsid w:val="00C22BB0"/>
    <w:rsid w:val="00C23392"/>
    <w:rsid w:val="00C25AA9"/>
    <w:rsid w:val="00C27185"/>
    <w:rsid w:val="00C31285"/>
    <w:rsid w:val="00C3361D"/>
    <w:rsid w:val="00C341A3"/>
    <w:rsid w:val="00C371C6"/>
    <w:rsid w:val="00C377F8"/>
    <w:rsid w:val="00C4021C"/>
    <w:rsid w:val="00C41D88"/>
    <w:rsid w:val="00C47688"/>
    <w:rsid w:val="00C5044A"/>
    <w:rsid w:val="00C51AEF"/>
    <w:rsid w:val="00C51BB6"/>
    <w:rsid w:val="00C546B0"/>
    <w:rsid w:val="00C56C2F"/>
    <w:rsid w:val="00C57A12"/>
    <w:rsid w:val="00C61694"/>
    <w:rsid w:val="00C61C2E"/>
    <w:rsid w:val="00C71AF9"/>
    <w:rsid w:val="00C73C37"/>
    <w:rsid w:val="00C74E39"/>
    <w:rsid w:val="00C76031"/>
    <w:rsid w:val="00C763AE"/>
    <w:rsid w:val="00C76840"/>
    <w:rsid w:val="00C77E5F"/>
    <w:rsid w:val="00C80349"/>
    <w:rsid w:val="00C8199A"/>
    <w:rsid w:val="00C82029"/>
    <w:rsid w:val="00C86A0A"/>
    <w:rsid w:val="00C92783"/>
    <w:rsid w:val="00C95CAC"/>
    <w:rsid w:val="00C95E21"/>
    <w:rsid w:val="00C95F72"/>
    <w:rsid w:val="00CA324E"/>
    <w:rsid w:val="00CA3D9B"/>
    <w:rsid w:val="00CA42A0"/>
    <w:rsid w:val="00CA42C7"/>
    <w:rsid w:val="00CA4D17"/>
    <w:rsid w:val="00CA4D29"/>
    <w:rsid w:val="00CB2D58"/>
    <w:rsid w:val="00CB7FB9"/>
    <w:rsid w:val="00CC02BF"/>
    <w:rsid w:val="00CC0F94"/>
    <w:rsid w:val="00CC5261"/>
    <w:rsid w:val="00CC553B"/>
    <w:rsid w:val="00CC6DBE"/>
    <w:rsid w:val="00CD14B4"/>
    <w:rsid w:val="00CD2D53"/>
    <w:rsid w:val="00CD65DC"/>
    <w:rsid w:val="00CE2019"/>
    <w:rsid w:val="00CE6BD7"/>
    <w:rsid w:val="00CE6F88"/>
    <w:rsid w:val="00CE7389"/>
    <w:rsid w:val="00CE76D4"/>
    <w:rsid w:val="00CF0EC0"/>
    <w:rsid w:val="00CF282F"/>
    <w:rsid w:val="00CF37F1"/>
    <w:rsid w:val="00CF3F0B"/>
    <w:rsid w:val="00CF4936"/>
    <w:rsid w:val="00CF4E82"/>
    <w:rsid w:val="00CF4E90"/>
    <w:rsid w:val="00CF6F95"/>
    <w:rsid w:val="00CF7196"/>
    <w:rsid w:val="00CF7C87"/>
    <w:rsid w:val="00D01C69"/>
    <w:rsid w:val="00D01FD5"/>
    <w:rsid w:val="00D0460C"/>
    <w:rsid w:val="00D063FC"/>
    <w:rsid w:val="00D1060D"/>
    <w:rsid w:val="00D11485"/>
    <w:rsid w:val="00D11E07"/>
    <w:rsid w:val="00D132E5"/>
    <w:rsid w:val="00D14102"/>
    <w:rsid w:val="00D15B53"/>
    <w:rsid w:val="00D15CFD"/>
    <w:rsid w:val="00D16B0F"/>
    <w:rsid w:val="00D21E0B"/>
    <w:rsid w:val="00D222E7"/>
    <w:rsid w:val="00D229D2"/>
    <w:rsid w:val="00D267B8"/>
    <w:rsid w:val="00D26A68"/>
    <w:rsid w:val="00D27336"/>
    <w:rsid w:val="00D30CED"/>
    <w:rsid w:val="00D32506"/>
    <w:rsid w:val="00D33DEE"/>
    <w:rsid w:val="00D340CB"/>
    <w:rsid w:val="00D353A0"/>
    <w:rsid w:val="00D35C55"/>
    <w:rsid w:val="00D36002"/>
    <w:rsid w:val="00D40C7E"/>
    <w:rsid w:val="00D42E31"/>
    <w:rsid w:val="00D46F61"/>
    <w:rsid w:val="00D47104"/>
    <w:rsid w:val="00D5018E"/>
    <w:rsid w:val="00D51D8A"/>
    <w:rsid w:val="00D52B74"/>
    <w:rsid w:val="00D536B9"/>
    <w:rsid w:val="00D559B2"/>
    <w:rsid w:val="00D568D0"/>
    <w:rsid w:val="00D6333A"/>
    <w:rsid w:val="00D63962"/>
    <w:rsid w:val="00D64283"/>
    <w:rsid w:val="00D649BB"/>
    <w:rsid w:val="00D76D61"/>
    <w:rsid w:val="00D77E04"/>
    <w:rsid w:val="00D80BAD"/>
    <w:rsid w:val="00D814C7"/>
    <w:rsid w:val="00D814C8"/>
    <w:rsid w:val="00D84180"/>
    <w:rsid w:val="00D85430"/>
    <w:rsid w:val="00D8653A"/>
    <w:rsid w:val="00D90C81"/>
    <w:rsid w:val="00D90CD4"/>
    <w:rsid w:val="00D93FA4"/>
    <w:rsid w:val="00D94F5F"/>
    <w:rsid w:val="00D95813"/>
    <w:rsid w:val="00D9694C"/>
    <w:rsid w:val="00DA32BC"/>
    <w:rsid w:val="00DA4511"/>
    <w:rsid w:val="00DA484C"/>
    <w:rsid w:val="00DA495F"/>
    <w:rsid w:val="00DA7C36"/>
    <w:rsid w:val="00DB03B6"/>
    <w:rsid w:val="00DB751A"/>
    <w:rsid w:val="00DC28AD"/>
    <w:rsid w:val="00DC455F"/>
    <w:rsid w:val="00DC691B"/>
    <w:rsid w:val="00DD0C04"/>
    <w:rsid w:val="00DD1D7C"/>
    <w:rsid w:val="00DD336A"/>
    <w:rsid w:val="00DD3FFF"/>
    <w:rsid w:val="00DD7ACB"/>
    <w:rsid w:val="00DE0485"/>
    <w:rsid w:val="00DE0F0C"/>
    <w:rsid w:val="00DE54CD"/>
    <w:rsid w:val="00DE62B4"/>
    <w:rsid w:val="00DF0655"/>
    <w:rsid w:val="00DF191C"/>
    <w:rsid w:val="00DF4DEC"/>
    <w:rsid w:val="00DF5F84"/>
    <w:rsid w:val="00DF63E0"/>
    <w:rsid w:val="00DF6D1A"/>
    <w:rsid w:val="00E0060C"/>
    <w:rsid w:val="00E00F13"/>
    <w:rsid w:val="00E04627"/>
    <w:rsid w:val="00E05E53"/>
    <w:rsid w:val="00E10555"/>
    <w:rsid w:val="00E13999"/>
    <w:rsid w:val="00E13FB4"/>
    <w:rsid w:val="00E14038"/>
    <w:rsid w:val="00E14E76"/>
    <w:rsid w:val="00E1760D"/>
    <w:rsid w:val="00E24B4C"/>
    <w:rsid w:val="00E25656"/>
    <w:rsid w:val="00E31EFC"/>
    <w:rsid w:val="00E3209D"/>
    <w:rsid w:val="00E3263A"/>
    <w:rsid w:val="00E34C89"/>
    <w:rsid w:val="00E34D5E"/>
    <w:rsid w:val="00E363BE"/>
    <w:rsid w:val="00E37813"/>
    <w:rsid w:val="00E37AD8"/>
    <w:rsid w:val="00E37E02"/>
    <w:rsid w:val="00E41D49"/>
    <w:rsid w:val="00E43586"/>
    <w:rsid w:val="00E46959"/>
    <w:rsid w:val="00E46D5A"/>
    <w:rsid w:val="00E47C0F"/>
    <w:rsid w:val="00E50EAD"/>
    <w:rsid w:val="00E53A14"/>
    <w:rsid w:val="00E54162"/>
    <w:rsid w:val="00E55A09"/>
    <w:rsid w:val="00E57331"/>
    <w:rsid w:val="00E577D3"/>
    <w:rsid w:val="00E57912"/>
    <w:rsid w:val="00E6107D"/>
    <w:rsid w:val="00E634DF"/>
    <w:rsid w:val="00E7054D"/>
    <w:rsid w:val="00E7312C"/>
    <w:rsid w:val="00E75950"/>
    <w:rsid w:val="00E75CA4"/>
    <w:rsid w:val="00E75EE0"/>
    <w:rsid w:val="00E7656E"/>
    <w:rsid w:val="00E76DF1"/>
    <w:rsid w:val="00E76EE3"/>
    <w:rsid w:val="00E773F6"/>
    <w:rsid w:val="00E804E8"/>
    <w:rsid w:val="00E80D6C"/>
    <w:rsid w:val="00E810EE"/>
    <w:rsid w:val="00E8206D"/>
    <w:rsid w:val="00E86647"/>
    <w:rsid w:val="00E87603"/>
    <w:rsid w:val="00E9076D"/>
    <w:rsid w:val="00E90E93"/>
    <w:rsid w:val="00E91BEA"/>
    <w:rsid w:val="00E921A3"/>
    <w:rsid w:val="00E92EBF"/>
    <w:rsid w:val="00E93560"/>
    <w:rsid w:val="00E963D2"/>
    <w:rsid w:val="00EA026C"/>
    <w:rsid w:val="00EA1050"/>
    <w:rsid w:val="00EA19C9"/>
    <w:rsid w:val="00EA21EC"/>
    <w:rsid w:val="00EA32DC"/>
    <w:rsid w:val="00EA4E3F"/>
    <w:rsid w:val="00EA5AC9"/>
    <w:rsid w:val="00EA6CD9"/>
    <w:rsid w:val="00EB22A0"/>
    <w:rsid w:val="00EC02D0"/>
    <w:rsid w:val="00EC230D"/>
    <w:rsid w:val="00EC2C7E"/>
    <w:rsid w:val="00EC3725"/>
    <w:rsid w:val="00EC5F29"/>
    <w:rsid w:val="00EC6C89"/>
    <w:rsid w:val="00ED23F5"/>
    <w:rsid w:val="00ED5B8A"/>
    <w:rsid w:val="00EE1133"/>
    <w:rsid w:val="00EE238A"/>
    <w:rsid w:val="00EE29DA"/>
    <w:rsid w:val="00EE58B6"/>
    <w:rsid w:val="00EE5F74"/>
    <w:rsid w:val="00EF7B36"/>
    <w:rsid w:val="00F00C12"/>
    <w:rsid w:val="00F00DF2"/>
    <w:rsid w:val="00F0703F"/>
    <w:rsid w:val="00F12318"/>
    <w:rsid w:val="00F1232B"/>
    <w:rsid w:val="00F12365"/>
    <w:rsid w:val="00F13811"/>
    <w:rsid w:val="00F1580B"/>
    <w:rsid w:val="00F16D72"/>
    <w:rsid w:val="00F17544"/>
    <w:rsid w:val="00F203A1"/>
    <w:rsid w:val="00F20C3E"/>
    <w:rsid w:val="00F228B1"/>
    <w:rsid w:val="00F24363"/>
    <w:rsid w:val="00F24BC7"/>
    <w:rsid w:val="00F259B5"/>
    <w:rsid w:val="00F2602B"/>
    <w:rsid w:val="00F317E3"/>
    <w:rsid w:val="00F318D6"/>
    <w:rsid w:val="00F33409"/>
    <w:rsid w:val="00F3678F"/>
    <w:rsid w:val="00F37767"/>
    <w:rsid w:val="00F406ED"/>
    <w:rsid w:val="00F40965"/>
    <w:rsid w:val="00F44CE7"/>
    <w:rsid w:val="00F44D44"/>
    <w:rsid w:val="00F4587C"/>
    <w:rsid w:val="00F45930"/>
    <w:rsid w:val="00F46334"/>
    <w:rsid w:val="00F47415"/>
    <w:rsid w:val="00F505DC"/>
    <w:rsid w:val="00F51E42"/>
    <w:rsid w:val="00F5293A"/>
    <w:rsid w:val="00F56566"/>
    <w:rsid w:val="00F57848"/>
    <w:rsid w:val="00F605CE"/>
    <w:rsid w:val="00F62326"/>
    <w:rsid w:val="00F65032"/>
    <w:rsid w:val="00F661FF"/>
    <w:rsid w:val="00F70167"/>
    <w:rsid w:val="00F715C3"/>
    <w:rsid w:val="00F72BA3"/>
    <w:rsid w:val="00F803B7"/>
    <w:rsid w:val="00F85369"/>
    <w:rsid w:val="00F85886"/>
    <w:rsid w:val="00F86A50"/>
    <w:rsid w:val="00F91F61"/>
    <w:rsid w:val="00F929AA"/>
    <w:rsid w:val="00F958D2"/>
    <w:rsid w:val="00F9715E"/>
    <w:rsid w:val="00FA040B"/>
    <w:rsid w:val="00FA04B2"/>
    <w:rsid w:val="00FA25CD"/>
    <w:rsid w:val="00FA38CB"/>
    <w:rsid w:val="00FA41A9"/>
    <w:rsid w:val="00FA5073"/>
    <w:rsid w:val="00FA6BCB"/>
    <w:rsid w:val="00FA7405"/>
    <w:rsid w:val="00FA7E7E"/>
    <w:rsid w:val="00FB1044"/>
    <w:rsid w:val="00FB1830"/>
    <w:rsid w:val="00FB1C22"/>
    <w:rsid w:val="00FB424F"/>
    <w:rsid w:val="00FB70A4"/>
    <w:rsid w:val="00FC2FE4"/>
    <w:rsid w:val="00FC4ABD"/>
    <w:rsid w:val="00FC522E"/>
    <w:rsid w:val="00FC5732"/>
    <w:rsid w:val="00FC5B8F"/>
    <w:rsid w:val="00FC7794"/>
    <w:rsid w:val="00FD016D"/>
    <w:rsid w:val="00FD05FC"/>
    <w:rsid w:val="00FD086A"/>
    <w:rsid w:val="00FD3A67"/>
    <w:rsid w:val="00FD72B5"/>
    <w:rsid w:val="00FD7FB5"/>
    <w:rsid w:val="00FE1628"/>
    <w:rsid w:val="00FE21B1"/>
    <w:rsid w:val="00FE2AD8"/>
    <w:rsid w:val="00FE5201"/>
    <w:rsid w:val="00FF01DC"/>
    <w:rsid w:val="02882583"/>
    <w:rsid w:val="05E95974"/>
    <w:rsid w:val="0E3A3A50"/>
    <w:rsid w:val="0FC478A1"/>
    <w:rsid w:val="14804D1D"/>
    <w:rsid w:val="174A4DDA"/>
    <w:rsid w:val="1AA734C6"/>
    <w:rsid w:val="1DFF4E1B"/>
    <w:rsid w:val="1F61456C"/>
    <w:rsid w:val="200C07D6"/>
    <w:rsid w:val="22D13D1E"/>
    <w:rsid w:val="23210884"/>
    <w:rsid w:val="264E4EC4"/>
    <w:rsid w:val="26916B50"/>
    <w:rsid w:val="269842ED"/>
    <w:rsid w:val="298807A2"/>
    <w:rsid w:val="2D7A10B0"/>
    <w:rsid w:val="2E8D4A54"/>
    <w:rsid w:val="373A2F4F"/>
    <w:rsid w:val="3CBF4C3F"/>
    <w:rsid w:val="3CEC63FF"/>
    <w:rsid w:val="40AB4A4C"/>
    <w:rsid w:val="462E02BC"/>
    <w:rsid w:val="4FCB0CC7"/>
    <w:rsid w:val="54523886"/>
    <w:rsid w:val="55E55C0A"/>
    <w:rsid w:val="56B05DE4"/>
    <w:rsid w:val="574D76B3"/>
    <w:rsid w:val="58615593"/>
    <w:rsid w:val="60135CD9"/>
    <w:rsid w:val="681E35AA"/>
    <w:rsid w:val="6A38008C"/>
    <w:rsid w:val="6F985CC6"/>
    <w:rsid w:val="72DD1C96"/>
    <w:rsid w:val="78E24823"/>
    <w:rsid w:val="7B972AD7"/>
    <w:rsid w:val="7C30779E"/>
    <w:rsid w:val="7EE40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toc 3"/>
    <w:basedOn w:val="1"/>
    <w:next w:val="1"/>
    <w:unhideWhenUsed/>
    <w:qFormat/>
    <w:uiPriority w:val="39"/>
    <w:pPr>
      <w:widowControl/>
      <w:spacing w:after="100" w:line="276" w:lineRule="auto"/>
      <w:ind w:left="440"/>
      <w:jc w:val="left"/>
    </w:pPr>
    <w:rPr>
      <w:kern w:val="0"/>
      <w:sz w:val="22"/>
    </w:rPr>
  </w:style>
  <w:style w:type="paragraph" w:styleId="4">
    <w:name w:val="endnote text"/>
    <w:basedOn w:val="1"/>
    <w:link w:val="20"/>
    <w:unhideWhenUsed/>
    <w:qFormat/>
    <w:uiPriority w:val="99"/>
    <w:pPr>
      <w:snapToGrid w:val="0"/>
      <w:jc w:val="left"/>
    </w:pPr>
  </w:style>
  <w:style w:type="paragraph" w:styleId="5">
    <w:name w:val="Balloon Text"/>
    <w:basedOn w:val="1"/>
    <w:link w:val="18"/>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spacing w:after="100" w:line="276" w:lineRule="auto"/>
      <w:jc w:val="left"/>
    </w:pPr>
    <w:rPr>
      <w:kern w:val="0"/>
      <w:sz w:val="22"/>
    </w:rPr>
  </w:style>
  <w:style w:type="paragraph" w:styleId="9">
    <w:name w:val="footnote text"/>
    <w:basedOn w:val="1"/>
    <w:link w:val="19"/>
    <w:unhideWhenUsed/>
    <w:qFormat/>
    <w:uiPriority w:val="99"/>
    <w:pPr>
      <w:snapToGrid w:val="0"/>
      <w:jc w:val="left"/>
    </w:pPr>
    <w:rPr>
      <w:sz w:val="18"/>
      <w:szCs w:val="18"/>
    </w:rPr>
  </w:style>
  <w:style w:type="paragraph" w:styleId="10">
    <w:name w:val="toc 2"/>
    <w:basedOn w:val="1"/>
    <w:next w:val="1"/>
    <w:unhideWhenUsed/>
    <w:qFormat/>
    <w:uiPriority w:val="39"/>
    <w:pPr>
      <w:widowControl/>
      <w:spacing w:after="100" w:line="276" w:lineRule="auto"/>
      <w:ind w:left="220"/>
      <w:jc w:val="left"/>
    </w:pPr>
    <w:rPr>
      <w:kern w:val="0"/>
      <w:sz w:val="22"/>
    </w:rPr>
  </w:style>
  <w:style w:type="character" w:styleId="13">
    <w:name w:val="endnote reference"/>
    <w:basedOn w:val="12"/>
    <w:unhideWhenUsed/>
    <w:qFormat/>
    <w:uiPriority w:val="99"/>
    <w:rPr>
      <w:vertAlign w:val="superscript"/>
    </w:rPr>
  </w:style>
  <w:style w:type="character" w:styleId="14">
    <w:name w:val="footnote reference"/>
    <w:basedOn w:val="12"/>
    <w:unhideWhenUsed/>
    <w:qFormat/>
    <w:uiPriority w:val="99"/>
    <w:rPr>
      <w:vertAlign w:val="superscript"/>
    </w:rPr>
  </w:style>
  <w:style w:type="paragraph" w:customStyle="1" w:styleId="15">
    <w:name w:val="列出段落1"/>
    <w:basedOn w:val="1"/>
    <w:qFormat/>
    <w:uiPriority w:val="34"/>
    <w:pPr>
      <w:ind w:firstLine="420" w:firstLineChars="200"/>
    </w:pPr>
  </w:style>
  <w:style w:type="character" w:customStyle="1" w:styleId="16">
    <w:name w:val="页眉 Char"/>
    <w:basedOn w:val="12"/>
    <w:link w:val="7"/>
    <w:qFormat/>
    <w:uiPriority w:val="99"/>
    <w:rPr>
      <w:sz w:val="18"/>
      <w:szCs w:val="18"/>
    </w:rPr>
  </w:style>
  <w:style w:type="character" w:customStyle="1" w:styleId="17">
    <w:name w:val="页脚 Char"/>
    <w:basedOn w:val="12"/>
    <w:link w:val="6"/>
    <w:qFormat/>
    <w:uiPriority w:val="99"/>
    <w:rPr>
      <w:sz w:val="18"/>
      <w:szCs w:val="18"/>
    </w:rPr>
  </w:style>
  <w:style w:type="character" w:customStyle="1" w:styleId="18">
    <w:name w:val="批注框文本 Char"/>
    <w:basedOn w:val="12"/>
    <w:link w:val="5"/>
    <w:semiHidden/>
    <w:qFormat/>
    <w:uiPriority w:val="99"/>
    <w:rPr>
      <w:sz w:val="18"/>
      <w:szCs w:val="18"/>
    </w:rPr>
  </w:style>
  <w:style w:type="character" w:customStyle="1" w:styleId="19">
    <w:name w:val="脚注文本 Char"/>
    <w:basedOn w:val="12"/>
    <w:link w:val="9"/>
    <w:semiHidden/>
    <w:qFormat/>
    <w:uiPriority w:val="99"/>
    <w:rPr>
      <w:sz w:val="18"/>
      <w:szCs w:val="18"/>
    </w:rPr>
  </w:style>
  <w:style w:type="character" w:customStyle="1" w:styleId="20">
    <w:name w:val="尾注文本 Char"/>
    <w:basedOn w:val="12"/>
    <w:link w:val="4"/>
    <w:semiHidden/>
    <w:qFormat/>
    <w:uiPriority w:val="99"/>
  </w:style>
  <w:style w:type="character" w:customStyle="1" w:styleId="21">
    <w:name w:val="标题 1 Char"/>
    <w:basedOn w:val="12"/>
    <w:link w:val="2"/>
    <w:qFormat/>
    <w:uiPriority w:val="9"/>
    <w:rPr>
      <w:b/>
      <w:bCs/>
      <w:kern w:val="44"/>
      <w:sz w:val="44"/>
      <w:szCs w:val="44"/>
    </w:rPr>
  </w:style>
  <w:style w:type="paragraph" w:customStyle="1" w:styleId="22">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2F35B-D671-43CF-99D2-0B456A73392F}">
  <ds:schemaRefs/>
</ds:datastoreItem>
</file>

<file path=docProps/app.xml><?xml version="1.0" encoding="utf-8"?>
<Properties xmlns="http://schemas.openxmlformats.org/officeDocument/2006/extended-properties" xmlns:vt="http://schemas.openxmlformats.org/officeDocument/2006/docPropsVTypes">
  <Template>Normal.dotm</Template>
  <Pages>7</Pages>
  <Words>546</Words>
  <Characters>3116</Characters>
  <Lines>25</Lines>
  <Paragraphs>7</Paragraphs>
  <TotalTime>13</TotalTime>
  <ScaleCrop>false</ScaleCrop>
  <LinksUpToDate>false</LinksUpToDate>
  <CharactersWithSpaces>3655</CharactersWithSpaces>
  <Application>WPS Office_11.8.2.12320_F1E327BC-269C-435d-A152-05C5408002CA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2018-12-11T10:23:00Z</dcterms:created>
  <dc:creator>孟庆营</dc:creator>
  <cp:lastModifiedBy>baixin</cp:lastModifiedBy>
  <cp:lastPrinted>2024-12-06T15:51:00Z</cp:lastPrinted>
  <dcterms:modified xsi:type="dcterms:W3CDTF">2025-07-24T15:36:03Z</dcterms:modified>
  <cp:revision>1320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2052-11.8.2.12320</vt:lpwstr>
  </property>
  <property fmtid="{D5CDD505-2E9C-101B-9397-08002B2CF9AE}" pid="3" name="ICV">
    <vt:lpwstr>7620236CDB57F5E663E2816886FA0D0F</vt:lpwstr>
  </property>
</Properties>
</file>