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FC647">
      <w:pPr>
        <w:jc w:val="center"/>
        <w:rPr>
          <w:rFonts w:ascii="方正小标宋简体" w:hAnsi="方正小标宋简体" w:eastAsia="方正小标宋简体" w:cs="方正小标宋简体"/>
          <w:sz w:val="52"/>
          <w:szCs w:val="52"/>
        </w:rPr>
      </w:pPr>
    </w:p>
    <w:p w14:paraId="121C5803">
      <w:pPr>
        <w:jc w:val="center"/>
        <w:rPr>
          <w:rFonts w:ascii="方正小标宋简体" w:hAnsi="方正小标宋简体" w:eastAsia="方正小标宋简体" w:cs="方正小标宋简体"/>
          <w:sz w:val="52"/>
          <w:szCs w:val="52"/>
        </w:rPr>
      </w:pPr>
    </w:p>
    <w:p w14:paraId="232E07EB">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2024年度唐山市财政局</w:t>
      </w:r>
    </w:p>
    <w:p w14:paraId="66BE5432">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整体绩效自评工作报告</w:t>
      </w:r>
    </w:p>
    <w:p w14:paraId="4521F09A">
      <w:pPr>
        <w:jc w:val="center"/>
        <w:rPr>
          <w:rFonts w:ascii="方正小标宋简体" w:hAnsi="方正小标宋简体" w:eastAsia="方正小标宋简体" w:cs="方正小标宋简体"/>
          <w:sz w:val="52"/>
          <w:szCs w:val="52"/>
        </w:rPr>
      </w:pPr>
    </w:p>
    <w:p w14:paraId="6AB461E6">
      <w:pPr>
        <w:jc w:val="center"/>
        <w:rPr>
          <w:rFonts w:ascii="方正小标宋简体" w:hAnsi="方正小标宋简体" w:eastAsia="方正小标宋简体" w:cs="方正小标宋简体"/>
          <w:sz w:val="52"/>
          <w:szCs w:val="52"/>
        </w:rPr>
      </w:pPr>
    </w:p>
    <w:p w14:paraId="0F45BEED">
      <w:pPr>
        <w:jc w:val="center"/>
        <w:rPr>
          <w:rFonts w:ascii="方正小标宋简体" w:hAnsi="方正小标宋简体" w:eastAsia="方正小标宋简体" w:cs="方正小标宋简体"/>
          <w:sz w:val="52"/>
          <w:szCs w:val="52"/>
        </w:rPr>
      </w:pPr>
    </w:p>
    <w:p w14:paraId="14323337">
      <w:pPr>
        <w:jc w:val="center"/>
        <w:rPr>
          <w:rFonts w:ascii="方正小标宋简体" w:hAnsi="方正小标宋简体" w:eastAsia="方正小标宋简体" w:cs="方正小标宋简体"/>
          <w:sz w:val="52"/>
          <w:szCs w:val="52"/>
        </w:rPr>
      </w:pPr>
    </w:p>
    <w:p w14:paraId="4131DF77">
      <w:pPr>
        <w:jc w:val="center"/>
        <w:rPr>
          <w:rFonts w:ascii="方正小标宋简体" w:hAnsi="方正小标宋简体" w:eastAsia="方正小标宋简体" w:cs="方正小标宋简体"/>
          <w:sz w:val="52"/>
          <w:szCs w:val="52"/>
        </w:rPr>
      </w:pPr>
    </w:p>
    <w:p w14:paraId="0CEC1A13">
      <w:pPr>
        <w:jc w:val="center"/>
        <w:rPr>
          <w:rFonts w:ascii="方正小标宋简体" w:hAnsi="方正小标宋简体" w:eastAsia="方正小标宋简体" w:cs="方正小标宋简体"/>
          <w:sz w:val="52"/>
          <w:szCs w:val="52"/>
        </w:rPr>
      </w:pPr>
    </w:p>
    <w:p w14:paraId="4C89E42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唐山市财政局</w:t>
      </w:r>
    </w:p>
    <w:p w14:paraId="28EBDF6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2025年2月</w:t>
      </w:r>
    </w:p>
    <w:p w14:paraId="0C381449">
      <w:pPr>
        <w:spacing w:line="560" w:lineRule="exact"/>
        <w:jc w:val="center"/>
        <w:outlineLvl w:val="0"/>
        <w:rPr>
          <w:rFonts w:ascii="方正小标宋简体" w:eastAsia="方正小标宋简体"/>
          <w:sz w:val="36"/>
          <w:szCs w:val="36"/>
        </w:rPr>
      </w:pPr>
    </w:p>
    <w:p w14:paraId="12FF1705">
      <w:pPr>
        <w:spacing w:line="560" w:lineRule="exact"/>
        <w:jc w:val="center"/>
        <w:outlineLvl w:val="0"/>
        <w:rPr>
          <w:rFonts w:ascii="方正小标宋简体" w:eastAsia="方正小标宋简体"/>
          <w:sz w:val="36"/>
          <w:szCs w:val="36"/>
        </w:rPr>
      </w:pPr>
    </w:p>
    <w:p w14:paraId="32CA4A42">
      <w:pPr>
        <w:spacing w:line="560" w:lineRule="exact"/>
        <w:jc w:val="center"/>
        <w:outlineLvl w:val="0"/>
        <w:rPr>
          <w:rFonts w:ascii="方正小标宋简体" w:eastAsia="方正小标宋简体"/>
          <w:sz w:val="36"/>
          <w:szCs w:val="36"/>
        </w:rPr>
      </w:pPr>
    </w:p>
    <w:p w14:paraId="6E4AB632">
      <w:pPr>
        <w:spacing w:line="560" w:lineRule="exact"/>
        <w:jc w:val="center"/>
        <w:outlineLvl w:val="0"/>
        <w:rPr>
          <w:rFonts w:ascii="方正小标宋简体" w:eastAsia="方正小标宋简体"/>
          <w:sz w:val="36"/>
          <w:szCs w:val="36"/>
        </w:rPr>
      </w:pPr>
    </w:p>
    <w:p w14:paraId="09963ABF">
      <w:pPr>
        <w:spacing w:line="560" w:lineRule="exact"/>
        <w:jc w:val="center"/>
        <w:outlineLvl w:val="0"/>
        <w:rPr>
          <w:rFonts w:ascii="方正小标宋简体" w:eastAsia="方正小标宋简体"/>
          <w:sz w:val="36"/>
          <w:szCs w:val="36"/>
        </w:rPr>
        <w:sectPr>
          <w:footerReference r:id="rId3" w:type="default"/>
          <w:pgSz w:w="11906" w:h="16838"/>
          <w:pgMar w:top="1440" w:right="1800" w:bottom="1440" w:left="1800" w:header="851" w:footer="992" w:gutter="0"/>
          <w:pgNumType w:fmt="numberInDash"/>
          <w:cols w:space="720" w:num="1"/>
          <w:docGrid w:type="lines" w:linePitch="312" w:charSpace="0"/>
        </w:sectPr>
      </w:pPr>
    </w:p>
    <w:p w14:paraId="6C0B12E5">
      <w:pPr>
        <w:spacing w:line="560" w:lineRule="exact"/>
        <w:jc w:val="center"/>
        <w:outlineLvl w:val="0"/>
        <w:rPr>
          <w:rFonts w:ascii="方正小标宋简体" w:eastAsia="方正小标宋简体"/>
          <w:sz w:val="36"/>
          <w:szCs w:val="36"/>
        </w:rPr>
      </w:pPr>
      <w:r>
        <w:rPr>
          <w:rFonts w:hint="eastAsia" w:ascii="方正小标宋简体" w:eastAsia="方正小标宋简体"/>
          <w:sz w:val="36"/>
          <w:szCs w:val="36"/>
        </w:rPr>
        <w:t>2024年度唐山市财政局整体绩效自评工作报告</w:t>
      </w:r>
    </w:p>
    <w:p w14:paraId="378759FF">
      <w:pPr>
        <w:jc w:val="center"/>
        <w:rPr>
          <w:rFonts w:ascii="仿宋_GB2312"/>
          <w:szCs w:val="30"/>
        </w:rPr>
      </w:pPr>
    </w:p>
    <w:p w14:paraId="1CF50A30">
      <w:pPr>
        <w:pStyle w:val="8"/>
        <w:numPr>
          <w:ilvl w:val="0"/>
          <w:numId w:val="1"/>
        </w:numPr>
        <w:spacing w:line="600" w:lineRule="exact"/>
        <w:ind w:firstLineChars="0"/>
        <w:outlineLvl w:val="0"/>
        <w:rPr>
          <w:rFonts w:ascii="黑体" w:hAnsi="黑体" w:eastAsia="黑体" w:cs="宋体"/>
          <w:color w:val="000000"/>
          <w:kern w:val="0"/>
          <w:sz w:val="32"/>
          <w:szCs w:val="32"/>
        </w:rPr>
      </w:pPr>
      <w:r>
        <w:rPr>
          <w:rFonts w:hint="eastAsia" w:ascii="黑体" w:hAnsi="黑体" w:eastAsia="黑体" w:cs="宋体"/>
          <w:color w:val="000000"/>
          <w:kern w:val="0"/>
          <w:sz w:val="32"/>
          <w:szCs w:val="32"/>
        </w:rPr>
        <w:t>部门概况</w:t>
      </w:r>
    </w:p>
    <w:p w14:paraId="62C1E596">
      <w:pPr>
        <w:spacing w:line="360" w:lineRule="auto"/>
        <w:ind w:firstLine="640" w:firstLineChars="200"/>
        <w:outlineLvl w:val="0"/>
        <w:rPr>
          <w:rFonts w:ascii="仿宋_GB2312" w:hAnsi="仿宋" w:eastAsia="仿宋_GB2312"/>
          <w:color w:val="000000"/>
          <w:sz w:val="32"/>
          <w:szCs w:val="32"/>
        </w:rPr>
      </w:pPr>
      <w:r>
        <w:rPr>
          <w:rFonts w:hint="eastAsia" w:ascii="仿宋_GB2312" w:hAnsi="仿宋" w:eastAsia="仿宋_GB2312"/>
          <w:color w:val="000000"/>
          <w:sz w:val="32"/>
          <w:szCs w:val="32"/>
        </w:rPr>
        <w:t>本部门2024年度申请预算资金7832.21万元，实际支出7418.70万元，预算执行率94.72%。其中：专项项目28个，预算金额合计2575.26万元，实际支出2284.56万元，执行率88.71%。</w:t>
      </w:r>
    </w:p>
    <w:p w14:paraId="3BA03916">
      <w:pPr>
        <w:pStyle w:val="8"/>
        <w:numPr>
          <w:ilvl w:val="0"/>
          <w:numId w:val="1"/>
        </w:numPr>
        <w:spacing w:line="600" w:lineRule="exact"/>
        <w:ind w:firstLineChars="0"/>
        <w:outlineLvl w:val="0"/>
        <w:rPr>
          <w:rFonts w:ascii="黑体" w:hAnsi="黑体" w:eastAsia="黑体" w:cs="宋体"/>
          <w:color w:val="000000"/>
          <w:kern w:val="0"/>
          <w:sz w:val="32"/>
          <w:szCs w:val="32"/>
        </w:rPr>
      </w:pPr>
      <w:r>
        <w:rPr>
          <w:rFonts w:hint="eastAsia" w:ascii="黑体" w:hAnsi="黑体" w:eastAsia="黑体" w:cs="宋体"/>
          <w:color w:val="000000"/>
          <w:kern w:val="0"/>
          <w:sz w:val="32"/>
          <w:szCs w:val="32"/>
        </w:rPr>
        <w:t>部门整体绩效目标和绩效指标设定情况</w:t>
      </w:r>
    </w:p>
    <w:p w14:paraId="48B87AB2">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本部门整体支出绩效目标和绩效指标是依据</w:t>
      </w:r>
      <w:r>
        <w:rPr>
          <w:rFonts w:hint="eastAsia" w:ascii="仿宋_GB2312" w:hAnsi="仿宋" w:eastAsia="仿宋_GB2312"/>
          <w:color w:val="000000"/>
          <w:sz w:val="32"/>
          <w:szCs w:val="32"/>
        </w:rPr>
        <w:t>市委办公厅、市政府办公厅《关于印发</w:t>
      </w:r>
      <w:r>
        <w:rPr>
          <w:rFonts w:ascii="仿宋_GB2312" w:hAnsi="仿宋" w:eastAsia="仿宋_GB2312"/>
          <w:color w:val="000000"/>
          <w:sz w:val="32"/>
          <w:szCs w:val="32"/>
        </w:rPr>
        <w:t>&lt;唐山市财政局职能配置、内设机构和人员编制的规定&gt;的通知》（</w:t>
      </w:r>
      <w:r>
        <w:rPr>
          <w:rFonts w:hint="eastAsia" w:ascii="仿宋_GB2312" w:hAnsi="仿宋" w:eastAsia="仿宋_GB2312"/>
          <w:color w:val="000000"/>
          <w:sz w:val="32"/>
          <w:szCs w:val="32"/>
        </w:rPr>
        <w:t>唐政办</w:t>
      </w:r>
      <w:r>
        <w:rPr>
          <w:rFonts w:ascii="仿宋_GB2312" w:hAnsi="仿宋" w:eastAsia="仿宋_GB2312"/>
          <w:color w:val="000000"/>
          <w:sz w:val="32"/>
          <w:szCs w:val="32"/>
        </w:rPr>
        <w:t>〔2019〕</w:t>
      </w:r>
      <w:r>
        <w:rPr>
          <w:rFonts w:hint="eastAsia" w:ascii="仿宋_GB2312" w:hAnsi="仿宋" w:eastAsia="仿宋_GB2312"/>
          <w:color w:val="000000"/>
          <w:sz w:val="32"/>
          <w:szCs w:val="32"/>
        </w:rPr>
        <w:t>57</w:t>
      </w:r>
      <w:r>
        <w:rPr>
          <w:rFonts w:ascii="仿宋_GB2312" w:hAnsi="仿宋" w:eastAsia="仿宋_GB2312"/>
          <w:color w:val="000000"/>
          <w:sz w:val="32"/>
          <w:szCs w:val="32"/>
        </w:rPr>
        <w:t>号）</w:t>
      </w:r>
      <w:r>
        <w:rPr>
          <w:rFonts w:hint="eastAsia" w:ascii="仿宋_GB2312" w:hAnsi="仿宋" w:eastAsia="仿宋_GB2312"/>
          <w:sz w:val="32"/>
          <w:szCs w:val="32"/>
        </w:rPr>
        <w:t>确定的机构设置及主要职责，结合局内中长期规划、年度工作计划、政策要求以及年度主要工作任务设立，反映市财政局使用部门预算资金在年度履职中预期达到的总体产出和效果。</w:t>
      </w:r>
    </w:p>
    <w:p w14:paraId="35C6CB8F">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目标设立从财政收入、财政支出、绩效管理、预算管理、防范风险等五个方面出发，旨在紧密围绕市委、市政府中心工作和重点任务，积极发挥财政在全市治理中的基础和重要支柱作用，着力加强财源建设，加大资金统筹力度，强化绩效成本管控，持续深化财政改革，防范财政运行风险，推进积极的财政政策提质增效，为首都高质量发展提供有力支撑。</w:t>
      </w:r>
    </w:p>
    <w:p w14:paraId="35F92180">
      <w:pPr>
        <w:spacing w:line="360" w:lineRule="auto"/>
        <w:ind w:firstLine="640" w:firstLineChars="200"/>
        <w:rPr>
          <w:rFonts w:ascii="仿宋_GB2312" w:hAnsi="仿宋" w:eastAsia="仿宋_GB2312"/>
          <w:sz w:val="32"/>
          <w:szCs w:val="32"/>
        </w:rPr>
      </w:pPr>
    </w:p>
    <w:p w14:paraId="080E0C6A">
      <w:pPr>
        <w:pStyle w:val="8"/>
        <w:numPr>
          <w:ilvl w:val="0"/>
          <w:numId w:val="1"/>
        </w:numPr>
        <w:spacing w:line="600" w:lineRule="exact"/>
        <w:ind w:firstLineChars="0"/>
        <w:outlineLvl w:val="0"/>
        <w:rPr>
          <w:rFonts w:ascii="黑体" w:hAnsi="黑体" w:eastAsia="黑体" w:cs="宋体"/>
          <w:color w:val="000000"/>
          <w:kern w:val="0"/>
          <w:sz w:val="32"/>
          <w:szCs w:val="32"/>
        </w:rPr>
      </w:pPr>
      <w:r>
        <w:rPr>
          <w:rFonts w:ascii="黑体" w:hAnsi="黑体" w:eastAsia="黑体" w:cs="宋体"/>
          <w:color w:val="000000"/>
          <w:kern w:val="0"/>
          <w:sz w:val="32"/>
          <w:szCs w:val="32"/>
        </w:rPr>
        <w:t>绩效</w:t>
      </w:r>
      <w:r>
        <w:rPr>
          <w:rFonts w:hint="eastAsia" w:ascii="黑体" w:hAnsi="黑体" w:eastAsia="黑体" w:cs="宋体"/>
          <w:color w:val="000000"/>
          <w:kern w:val="0"/>
          <w:sz w:val="32"/>
          <w:szCs w:val="32"/>
        </w:rPr>
        <w:t>评价组织</w:t>
      </w:r>
      <w:r>
        <w:rPr>
          <w:rFonts w:ascii="黑体" w:hAnsi="黑体" w:eastAsia="黑体" w:cs="宋体"/>
          <w:color w:val="000000"/>
          <w:kern w:val="0"/>
          <w:sz w:val="32"/>
          <w:szCs w:val="32"/>
        </w:rPr>
        <w:t>情况</w:t>
      </w:r>
    </w:p>
    <w:p w14:paraId="0FC5EE3A">
      <w:pPr>
        <w:spacing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本部门按照绩效自评相关要求，积极组织开展绩效自评工作，迅速安排部门人员分工，全面总结绩效目标设立是否清晰合理，绩效指标是否全面完整，从中</w:t>
      </w:r>
      <w:r>
        <w:rPr>
          <w:rFonts w:hint="eastAsia" w:ascii="仿宋_GB2312" w:hAnsi="仿宋" w:eastAsia="仿宋_GB2312"/>
          <w:sz w:val="32"/>
          <w:szCs w:val="32"/>
          <w:lang w:eastAsia="zh-CN"/>
        </w:rPr>
        <w:t>汲</w:t>
      </w:r>
      <w:r>
        <w:rPr>
          <w:rFonts w:hint="eastAsia" w:ascii="仿宋_GB2312" w:hAnsi="仿宋" w:eastAsia="仿宋_GB2312"/>
          <w:sz w:val="32"/>
          <w:szCs w:val="32"/>
        </w:rPr>
        <w:t>取经验和不足，及时完善补充。</w:t>
      </w:r>
    </w:p>
    <w:p w14:paraId="2A075382">
      <w:pPr>
        <w:spacing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 xml:space="preserve">本部门一般公共预算财政拨款实际支出7418.70万元，其中人员经费4726.60万元，日常公用经费407.55万元，专项公用经费1812.13万元，专项项目经费472.43万元。涉及本次绩效自评项目数量共计28个，占部门项目总数的100%，项目金额共计2284.56万元，占部门项目支出总金额的100%。 </w:t>
      </w:r>
    </w:p>
    <w:p w14:paraId="5821752C">
      <w:pPr>
        <w:spacing w:line="600" w:lineRule="exact"/>
        <w:ind w:left="105" w:leftChars="50" w:firstLine="480" w:firstLineChars="150"/>
        <w:outlineLvl w:val="1"/>
        <w:rPr>
          <w:rFonts w:ascii="楷体_GB2312" w:eastAsia="楷体_GB2312"/>
          <w:sz w:val="32"/>
          <w:szCs w:val="32"/>
        </w:rPr>
      </w:pPr>
      <w:r>
        <w:rPr>
          <w:rFonts w:hint="eastAsia" w:ascii="楷体_GB2312" w:eastAsia="楷体_GB2312"/>
          <w:sz w:val="32"/>
          <w:szCs w:val="32"/>
        </w:rPr>
        <w:t>（一）财务管理</w:t>
      </w:r>
    </w:p>
    <w:p w14:paraId="2CB96FCE">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1.财务</w:t>
      </w:r>
      <w:r>
        <w:rPr>
          <w:rFonts w:ascii="仿宋_GB2312" w:hAnsi="宋体" w:eastAsia="仿宋_GB2312" w:cs="宋体"/>
          <w:color w:val="000000"/>
          <w:kern w:val="0"/>
          <w:sz w:val="32"/>
          <w:szCs w:val="32"/>
        </w:rPr>
        <w:t>管理制度健全性</w:t>
      </w:r>
    </w:p>
    <w:p w14:paraId="61BC55FC">
      <w:pPr>
        <w:spacing w:line="600" w:lineRule="exact"/>
        <w:ind w:left="105" w:leftChars="50" w:firstLine="480" w:firstLineChars="150"/>
        <w:rPr>
          <w:rFonts w:ascii="仿宋_GB2312" w:hAnsi="宋体" w:eastAsia="仿宋_GB2312" w:cs="宋体"/>
          <w:kern w:val="0"/>
          <w:sz w:val="32"/>
          <w:szCs w:val="32"/>
        </w:rPr>
      </w:pPr>
      <w:r>
        <w:rPr>
          <w:rFonts w:hint="eastAsia" w:ascii="仿宋_GB2312" w:hAnsi="仿宋" w:eastAsia="仿宋_GB2312"/>
          <w:sz w:val="32"/>
          <w:szCs w:val="32"/>
        </w:rPr>
        <w:t>市财政局</w:t>
      </w:r>
      <w:r>
        <w:rPr>
          <w:rFonts w:hint="eastAsia" w:ascii="仿宋_GB2312" w:hAnsi="宋体" w:eastAsia="仿宋_GB2312" w:cs="宋体"/>
          <w:kern w:val="0"/>
          <w:sz w:val="32"/>
          <w:szCs w:val="32"/>
        </w:rPr>
        <w:t>根据自身业务开展情况制定了财务管理、预算管理、资金支出管理、资产管理、采购管理、合同管理、项目支出预算管理、预算绩效管理、项目支出事前绩效评估管理、财政支出绩效跟踪管理、财政支出绩效评价管理等方面制度，各项制度相对健全，部门内部财务管理制度及会计核算制度基本完整、合规。</w:t>
      </w:r>
    </w:p>
    <w:p w14:paraId="25BEF931">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2.资金使用合规性</w:t>
      </w:r>
      <w:r>
        <w:rPr>
          <w:rFonts w:ascii="仿宋_GB2312" w:hAnsi="宋体" w:eastAsia="仿宋_GB2312" w:cs="宋体"/>
          <w:color w:val="000000"/>
          <w:kern w:val="0"/>
          <w:sz w:val="32"/>
          <w:szCs w:val="32"/>
        </w:rPr>
        <w:t>和安全性</w:t>
      </w:r>
    </w:p>
    <w:p w14:paraId="26A86AB7">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仿宋" w:eastAsia="仿宋_GB2312"/>
          <w:sz w:val="32"/>
          <w:szCs w:val="32"/>
        </w:rPr>
        <w:t>市财政局资金使用严格按照国家财经法规和局内财务管理制度、资金支出管理办法规定以及有关专项资金管理办法的规定执行。政府采购分为公开招标、邀请招标、竞争性谈判、询价、单一来源等方式，严格按照政府采购的程序和流程执行。同时为了进一步深化国库集中支付改革，规范市财政局财政授权支付业务，减少现金结算，提高财政资金支付透明度，加强预算执行监督管理，并设置了公务卡结算制度</w:t>
      </w:r>
      <w:r>
        <w:rPr>
          <w:rFonts w:hint="eastAsia" w:ascii="仿宋_GB2312" w:hAnsi="宋体" w:eastAsia="仿宋_GB2312" w:cs="宋体"/>
          <w:color w:val="000000"/>
          <w:kern w:val="0"/>
          <w:sz w:val="32"/>
          <w:szCs w:val="32"/>
        </w:rPr>
        <w:t>。</w:t>
      </w:r>
    </w:p>
    <w:p w14:paraId="140C0951">
      <w:pPr>
        <w:spacing w:line="600" w:lineRule="exact"/>
        <w:ind w:left="105" w:leftChars="50" w:firstLine="480" w:firstLineChars="15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会计</w:t>
      </w:r>
      <w:r>
        <w:rPr>
          <w:rFonts w:ascii="仿宋_GB2312" w:hAnsi="宋体" w:eastAsia="仿宋_GB2312" w:cs="宋体"/>
          <w:color w:val="000000"/>
          <w:kern w:val="0"/>
          <w:sz w:val="32"/>
          <w:szCs w:val="32"/>
        </w:rPr>
        <w:t>基础信息完善性</w:t>
      </w:r>
    </w:p>
    <w:p w14:paraId="41EFD5BF">
      <w:pPr>
        <w:spacing w:line="600" w:lineRule="exact"/>
        <w:ind w:left="105" w:leftChars="50" w:firstLine="480" w:firstLineChars="150"/>
        <w:rPr>
          <w:rFonts w:ascii="楷体_GB2312" w:eastAsia="楷体_GB2312"/>
          <w:sz w:val="32"/>
          <w:szCs w:val="32"/>
        </w:rPr>
      </w:pPr>
      <w:r>
        <w:rPr>
          <w:rFonts w:hint="eastAsia" w:ascii="仿宋_GB2312" w:hAnsi="仿宋" w:eastAsia="仿宋_GB2312"/>
          <w:sz w:val="32"/>
          <w:szCs w:val="32"/>
        </w:rPr>
        <w:t>市财政局</w:t>
      </w:r>
      <w:r>
        <w:rPr>
          <w:rFonts w:hint="eastAsia" w:ascii="仿宋_GB2312" w:hAnsi="宋体" w:eastAsia="仿宋_GB2312" w:cs="宋体"/>
          <w:color w:val="000000"/>
          <w:kern w:val="0"/>
          <w:sz w:val="32"/>
          <w:szCs w:val="32"/>
        </w:rPr>
        <w:t>根据自身业务核算特点，制定了《唐山市财政局财务管理制度》，保障基础数据信息和会计信息资料真实、完整、准确。</w:t>
      </w:r>
    </w:p>
    <w:p w14:paraId="6494330D">
      <w:pPr>
        <w:spacing w:line="600" w:lineRule="exact"/>
        <w:ind w:left="105" w:leftChars="50" w:firstLine="480" w:firstLineChars="150"/>
        <w:outlineLvl w:val="1"/>
        <w:rPr>
          <w:rFonts w:ascii="仿宋_GB2312" w:hAnsi="宋体" w:eastAsia="仿宋_GB2312" w:cs="宋体"/>
          <w:color w:val="000000"/>
          <w:kern w:val="0"/>
          <w:sz w:val="32"/>
          <w:szCs w:val="32"/>
        </w:rPr>
      </w:pPr>
      <w:r>
        <w:rPr>
          <w:rFonts w:hint="eastAsia" w:ascii="楷体_GB2312" w:eastAsia="楷体_GB2312"/>
          <w:sz w:val="32"/>
          <w:szCs w:val="32"/>
        </w:rPr>
        <w:t>（二）资产管理</w:t>
      </w:r>
    </w:p>
    <w:p w14:paraId="0E01C894">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根据《行政单位国有资产管理暂行办法》《事业单位国有资产管理暂行办法》和《行政事业单位固定资产管理暂行办法》及财政部相关规定，结合单位实际情况，</w:t>
      </w:r>
      <w:r>
        <w:rPr>
          <w:rFonts w:hint="eastAsia" w:ascii="仿宋_GB2312" w:hAnsi="仿宋" w:eastAsia="仿宋_GB2312"/>
          <w:sz w:val="32"/>
          <w:szCs w:val="32"/>
        </w:rPr>
        <w:t>市财政局</w:t>
      </w:r>
      <w:r>
        <w:rPr>
          <w:rFonts w:hint="eastAsia" w:ascii="仿宋_GB2312" w:hAnsi="宋体" w:eastAsia="仿宋_GB2312" w:cs="宋体"/>
          <w:color w:val="000000"/>
          <w:kern w:val="0"/>
          <w:sz w:val="32"/>
          <w:szCs w:val="32"/>
        </w:rPr>
        <w:t>制定了《唐山市财政局固定资产管理办法》、《唐山市财政局办公用品、办公设备配件及耗材管理办法》，规范和加强了局机关各部门的资产管理工作，维护了国有资产的安全完整、合理配置和有效利用。</w:t>
      </w:r>
    </w:p>
    <w:p w14:paraId="589EB71E">
      <w:pPr>
        <w:spacing w:line="600" w:lineRule="exact"/>
        <w:ind w:left="105" w:leftChars="50" w:firstLine="480" w:firstLineChars="150"/>
        <w:outlineLvl w:val="1"/>
        <w:rPr>
          <w:rFonts w:ascii="楷体_GB2312" w:eastAsia="楷体_GB2312"/>
          <w:sz w:val="32"/>
          <w:szCs w:val="32"/>
        </w:rPr>
      </w:pPr>
      <w:r>
        <w:rPr>
          <w:rFonts w:hint="eastAsia" w:ascii="楷体_GB2312" w:eastAsia="楷体_GB2312"/>
          <w:sz w:val="32"/>
          <w:szCs w:val="32"/>
        </w:rPr>
        <w:t>（三）绩效</w:t>
      </w:r>
      <w:r>
        <w:rPr>
          <w:rFonts w:ascii="楷体_GB2312" w:eastAsia="楷体_GB2312"/>
          <w:sz w:val="32"/>
          <w:szCs w:val="32"/>
        </w:rPr>
        <w:t>管理</w:t>
      </w:r>
    </w:p>
    <w:p w14:paraId="571EC8E8">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为更好地开展预算绩效管理工作，</w:t>
      </w:r>
      <w:r>
        <w:rPr>
          <w:rFonts w:hint="eastAsia" w:ascii="仿宋_GB2312" w:hAnsi="仿宋" w:eastAsia="仿宋_GB2312"/>
          <w:sz w:val="32"/>
          <w:szCs w:val="32"/>
        </w:rPr>
        <w:t>市财政局围绕</w:t>
      </w:r>
      <w:r>
        <w:rPr>
          <w:rFonts w:hint="eastAsia" w:ascii="仿宋_GB2312" w:hAnsi="宋体" w:eastAsia="仿宋_GB2312" w:cs="宋体"/>
          <w:color w:val="000000"/>
          <w:kern w:val="0"/>
          <w:sz w:val="32"/>
          <w:szCs w:val="32"/>
        </w:rPr>
        <w:t>全市总体工作方案，明确了预算绩效管理工作的原则、组织机构及职责分工、主要工作任务、工作要求及保障措施等，稳步推进预算绩效管理工作。对纳入绩效管理的所有项目分别在6月和9月执行情况实施绩效监控，并按要求选取局内重点项目进行全面分析。对项目的绩效目标实现程度、项目预算资金拨款到位情况及预算执行情况，进行绩效监控，提高预算执行效力和项目资金使用效率。对偏离绩效目标项目和预期无效项目及时采取措施予以纠正。继续开展</w:t>
      </w:r>
      <w:r>
        <w:rPr>
          <w:rFonts w:ascii="仿宋" w:hAnsi="仿宋" w:eastAsia="仿宋_GB2312"/>
          <w:sz w:val="32"/>
          <w:szCs w:val="22"/>
        </w:rPr>
        <w:t>成本预算绩效分析，</w:t>
      </w:r>
      <w:r>
        <w:rPr>
          <w:rFonts w:hint="eastAsia" w:ascii="仿宋" w:hAnsi="仿宋" w:eastAsia="仿宋_GB2312"/>
          <w:sz w:val="32"/>
          <w:szCs w:val="22"/>
        </w:rPr>
        <w:t>充分利用成本绩效分析形成的成果，强化支出标准对预算核定的约束作用。真正实现预算编制有目标、执行过程有监控、预算完成有评价，不断强化绩效理念并逐步融入预算编制、执行、公开全过程，将降成本、提效益的理念贯穿于各项工作当中。</w:t>
      </w:r>
    </w:p>
    <w:p w14:paraId="04C36F0C">
      <w:pPr>
        <w:pStyle w:val="8"/>
        <w:numPr>
          <w:ilvl w:val="0"/>
          <w:numId w:val="1"/>
        </w:numPr>
        <w:spacing w:line="600" w:lineRule="exact"/>
        <w:ind w:firstLineChars="0"/>
        <w:outlineLvl w:val="0"/>
        <w:rPr>
          <w:rFonts w:ascii="黑体" w:hAnsi="黑体" w:eastAsia="黑体" w:cs="宋体"/>
          <w:color w:val="000000"/>
          <w:kern w:val="0"/>
          <w:sz w:val="32"/>
          <w:szCs w:val="32"/>
        </w:rPr>
      </w:pPr>
      <w:r>
        <w:rPr>
          <w:rFonts w:ascii="黑体" w:hAnsi="黑体" w:eastAsia="黑体" w:cs="宋体"/>
          <w:color w:val="000000"/>
          <w:kern w:val="0"/>
          <w:sz w:val="32"/>
          <w:szCs w:val="32"/>
        </w:rPr>
        <w:t>绩效实现情况</w:t>
      </w:r>
      <w:r>
        <w:rPr>
          <w:rFonts w:hint="eastAsia" w:ascii="黑体" w:hAnsi="黑体" w:eastAsia="黑体" w:cs="宋体"/>
          <w:color w:val="000000"/>
          <w:kern w:val="0"/>
          <w:sz w:val="32"/>
          <w:szCs w:val="32"/>
        </w:rPr>
        <w:t>分析</w:t>
      </w:r>
    </w:p>
    <w:p w14:paraId="6AE22620">
      <w:pPr>
        <w:spacing w:line="600" w:lineRule="exact"/>
        <w:ind w:left="105" w:leftChars="50" w:firstLine="480" w:firstLineChars="150"/>
        <w:outlineLvl w:val="1"/>
        <w:rPr>
          <w:rFonts w:ascii="楷体_GB2312" w:eastAsia="楷体_GB2312"/>
          <w:sz w:val="32"/>
          <w:szCs w:val="32"/>
        </w:rPr>
      </w:pPr>
      <w:r>
        <w:rPr>
          <w:rFonts w:hint="eastAsia" w:ascii="楷体_GB2312" w:eastAsia="楷体_GB2312"/>
          <w:sz w:val="32"/>
          <w:szCs w:val="32"/>
        </w:rPr>
        <w:t>（一）产出完成情况分析</w:t>
      </w:r>
    </w:p>
    <w:p w14:paraId="1C1147D0">
      <w:pPr>
        <w:spacing w:line="600" w:lineRule="exact"/>
        <w:ind w:left="105" w:leftChars="50" w:firstLine="480" w:firstLineChars="150"/>
        <w:rPr>
          <w:rFonts w:ascii="仿宋_GB2312" w:hAnsi="宋体" w:eastAsia="仿宋_GB2312" w:cs="宋体"/>
          <w:color w:val="FF0000"/>
          <w:kern w:val="0"/>
          <w:sz w:val="32"/>
          <w:szCs w:val="32"/>
        </w:rPr>
      </w:pPr>
      <w:r>
        <w:rPr>
          <w:rFonts w:hint="eastAsia" w:ascii="仿宋_GB2312" w:hAnsi="宋体" w:eastAsia="仿宋_GB2312" w:cs="宋体"/>
          <w:kern w:val="0"/>
          <w:sz w:val="32"/>
          <w:szCs w:val="32"/>
        </w:rPr>
        <w:t>2024年，</w:t>
      </w:r>
      <w:r>
        <w:rPr>
          <w:rFonts w:hint="eastAsia" w:ascii="仿宋_GB2312" w:hAnsi="仿宋" w:eastAsia="仿宋_GB2312"/>
          <w:sz w:val="32"/>
          <w:szCs w:val="32"/>
        </w:rPr>
        <w:t>市财政局</w:t>
      </w:r>
      <w:r>
        <w:rPr>
          <w:rFonts w:hint="eastAsia" w:ascii="仿宋_GB2312" w:hAnsi="宋体" w:eastAsia="仿宋_GB2312" w:cs="宋体"/>
          <w:kern w:val="0"/>
          <w:sz w:val="32"/>
          <w:szCs w:val="32"/>
        </w:rPr>
        <w:t>围绕财政收入、财政支出、绩效管理、预算管理、防范风险等五个方面开展大量工作，均完成了各项任务指标。</w:t>
      </w:r>
      <w:r>
        <w:rPr>
          <w:rFonts w:hint="eastAsia" w:ascii="仿宋_GB2312" w:hAnsi="宋体" w:eastAsia="仿宋_GB2312" w:cs="宋体"/>
          <w:b/>
          <w:bCs/>
          <w:kern w:val="0"/>
          <w:sz w:val="32"/>
          <w:szCs w:val="32"/>
        </w:rPr>
        <w:t>收入方面，</w:t>
      </w:r>
      <w:r>
        <w:rPr>
          <w:rFonts w:hint="eastAsia" w:ascii="仿宋_GB2312" w:hAnsi="宋体" w:eastAsia="仿宋_GB2312" w:cs="宋体"/>
          <w:kern w:val="0"/>
          <w:sz w:val="32"/>
          <w:szCs w:val="32"/>
        </w:rPr>
        <w:t>2024年一般公共预算收入</w:t>
      </w:r>
      <w:r>
        <w:rPr>
          <w:rFonts w:hint="eastAsia" w:ascii="仿宋_GB2312" w:hAnsi="仿宋" w:eastAsia="仿宋_GB2312"/>
          <w:color w:val="000000"/>
          <w:sz w:val="32"/>
          <w:szCs w:val="32"/>
        </w:rPr>
        <w:t>7832.21</w:t>
      </w:r>
      <w:r>
        <w:rPr>
          <w:rFonts w:hint="eastAsia" w:ascii="仿宋_GB2312" w:hAnsi="宋体" w:eastAsia="仿宋_GB2312" w:cs="宋体"/>
          <w:kern w:val="0"/>
          <w:sz w:val="32"/>
          <w:szCs w:val="32"/>
        </w:rPr>
        <w:t>万元。</w:t>
      </w:r>
      <w:r>
        <w:rPr>
          <w:rFonts w:hint="eastAsia" w:ascii="仿宋_GB2312" w:hAnsi="宋体" w:eastAsia="仿宋_GB2312" w:cs="宋体"/>
          <w:b/>
          <w:bCs/>
          <w:kern w:val="0"/>
          <w:sz w:val="32"/>
          <w:szCs w:val="32"/>
        </w:rPr>
        <w:t>支出方面，</w:t>
      </w:r>
      <w:r>
        <w:rPr>
          <w:rFonts w:hint="eastAsia" w:ascii="仿宋_GB2312" w:hAnsi="宋体" w:eastAsia="仿宋_GB2312" w:cs="宋体"/>
          <w:kern w:val="0"/>
          <w:sz w:val="32"/>
          <w:szCs w:val="32"/>
        </w:rPr>
        <w:t>加大各类财政资源统筹，优化支出结构和重点，在兜牢“三保”底线、做好民生保障的同时，集中财力支持城市更新、生态环境治理、美丽乡村建设等全市重点项目，为落实市委市政府中心工作提供有力保障。</w:t>
      </w:r>
      <w:r>
        <w:rPr>
          <w:rFonts w:hint="eastAsia" w:ascii="仿宋_GB2312" w:hAnsi="宋体" w:eastAsia="仿宋_GB2312" w:cs="宋体"/>
          <w:b/>
          <w:bCs/>
          <w:kern w:val="0"/>
          <w:sz w:val="32"/>
          <w:szCs w:val="32"/>
        </w:rPr>
        <w:t>绩效管理方面，</w:t>
      </w:r>
      <w:r>
        <w:rPr>
          <w:rFonts w:hint="eastAsia" w:ascii="仿宋_GB2312" w:hAnsi="宋体" w:eastAsia="仿宋_GB2312" w:cs="宋体"/>
          <w:kern w:val="0"/>
          <w:sz w:val="32"/>
          <w:szCs w:val="32"/>
        </w:rPr>
        <w:t>持续深化预算绩效管理改革，强化事前、事中、事后全过程预算绩效管理，将绩效评价结果与部门预算安排挂钩，促进财政资金聚力提效。</w:t>
      </w:r>
      <w:r>
        <w:rPr>
          <w:rFonts w:hint="eastAsia" w:ascii="仿宋_GB2312" w:hAnsi="宋体" w:eastAsia="仿宋_GB2312" w:cs="宋体"/>
          <w:b/>
          <w:bCs/>
          <w:kern w:val="0"/>
          <w:sz w:val="32"/>
          <w:szCs w:val="32"/>
        </w:rPr>
        <w:t>预算管理方面，</w:t>
      </w:r>
      <w:r>
        <w:rPr>
          <w:rFonts w:hint="eastAsia" w:ascii="仿宋_GB2312" w:hAnsi="宋体" w:eastAsia="仿宋_GB2312" w:cs="宋体"/>
          <w:kern w:val="0"/>
          <w:sz w:val="32"/>
          <w:szCs w:val="32"/>
        </w:rPr>
        <w:t>大力推行“零基预算”理念，建立“自上而下”的重点项目决策机制。推动“以预算资金分配为核心”向“以预算项目管理为核心”的转变，提升项目储备、预算编审、预算执行等各环节的标准化、科学化水平，实现对预算管理全流程的有效控制。</w:t>
      </w:r>
      <w:r>
        <w:rPr>
          <w:rFonts w:hint="eastAsia" w:ascii="仿宋_GB2312" w:hAnsi="宋体" w:eastAsia="仿宋_GB2312" w:cs="宋体"/>
          <w:b/>
          <w:bCs/>
          <w:kern w:val="0"/>
          <w:sz w:val="32"/>
          <w:szCs w:val="32"/>
        </w:rPr>
        <w:t>防范风险方面，</w:t>
      </w:r>
      <w:r>
        <w:rPr>
          <w:rFonts w:hint="eastAsia" w:ascii="仿宋_GB2312" w:hAnsi="宋体" w:eastAsia="仿宋_GB2312" w:cs="宋体"/>
          <w:kern w:val="0"/>
          <w:sz w:val="32"/>
          <w:szCs w:val="32"/>
        </w:rPr>
        <w:t>落实依法理财各项要求，加强预算执行动态监控，积极防范政府债务风险，加大预决算信息公开力度，自觉接受各方监督，实现财政安全平稳运行。</w:t>
      </w:r>
    </w:p>
    <w:p w14:paraId="6AAA73C3">
      <w:pPr>
        <w:spacing w:line="600" w:lineRule="exact"/>
        <w:ind w:left="105" w:leftChars="50" w:firstLine="480" w:firstLineChars="150"/>
        <w:outlineLvl w:val="1"/>
        <w:rPr>
          <w:rFonts w:ascii="楷体_GB2312" w:eastAsia="楷体_GB2312"/>
          <w:sz w:val="32"/>
          <w:szCs w:val="32"/>
        </w:rPr>
      </w:pPr>
      <w:r>
        <w:rPr>
          <w:rFonts w:hint="eastAsia" w:ascii="楷体_GB2312" w:eastAsia="楷体_GB2312"/>
          <w:sz w:val="32"/>
          <w:szCs w:val="32"/>
        </w:rPr>
        <w:t>（二）效果</w:t>
      </w:r>
      <w:r>
        <w:rPr>
          <w:rFonts w:ascii="楷体_GB2312" w:eastAsia="楷体_GB2312"/>
          <w:sz w:val="32"/>
          <w:szCs w:val="32"/>
        </w:rPr>
        <w:t>实现情况分析</w:t>
      </w:r>
    </w:p>
    <w:p w14:paraId="6978F628">
      <w:pPr>
        <w:spacing w:line="600" w:lineRule="exact"/>
        <w:ind w:left="105" w:leftChars="50" w:firstLine="800" w:firstLineChars="250"/>
        <w:rPr>
          <w:rFonts w:ascii="仿宋_GB2312" w:hAnsi="宋体" w:eastAsia="仿宋_GB2312" w:cs="宋体"/>
          <w:color w:val="000000"/>
          <w:kern w:val="0"/>
          <w:sz w:val="32"/>
          <w:szCs w:val="32"/>
        </w:rPr>
      </w:pPr>
      <w:r>
        <w:rPr>
          <w:rFonts w:hint="eastAsia" w:ascii="仿宋_GB2312" w:hAnsi="仿宋" w:eastAsia="仿宋_GB2312"/>
          <w:sz w:val="32"/>
          <w:szCs w:val="32"/>
        </w:rPr>
        <w:t>市财政局</w:t>
      </w:r>
      <w:r>
        <w:rPr>
          <w:rFonts w:hint="eastAsia" w:ascii="仿宋_GB2312" w:hAnsi="宋体" w:eastAsia="仿宋_GB2312" w:cs="宋体"/>
          <w:color w:val="000000"/>
          <w:kern w:val="0"/>
          <w:sz w:val="32"/>
          <w:szCs w:val="32"/>
        </w:rPr>
        <w:t>2024年部门整体支出</w:t>
      </w:r>
      <w:r>
        <w:rPr>
          <w:rFonts w:hint="eastAsia" w:ascii="仿宋_GB2312" w:hAnsi="仿宋" w:eastAsia="仿宋_GB2312"/>
          <w:color w:val="000000"/>
          <w:sz w:val="32"/>
          <w:szCs w:val="32"/>
        </w:rPr>
        <w:t>7418.70</w:t>
      </w:r>
      <w:r>
        <w:rPr>
          <w:rFonts w:hint="eastAsia" w:ascii="仿宋_GB2312" w:hAnsi="宋体" w:eastAsia="仿宋_GB2312" w:cs="宋体"/>
          <w:color w:val="000000"/>
          <w:kern w:val="0"/>
          <w:sz w:val="32"/>
          <w:szCs w:val="32"/>
        </w:rPr>
        <w:t>万元，预算完成率94.72%，预算完成度达标；增强了财政政策调节作用，促进我市经济平稳运行；坚持以人民为中心，有力有效做好民生经费保障；深入推进财税体制改革，持续提升财政管理水平；以绩效管理为抓手有效支持部门履职，财政治理能力和水平得到进一步提升，为首都高质量发展提供有力保障。</w:t>
      </w:r>
    </w:p>
    <w:p w14:paraId="19511B2E">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（三）评价</w:t>
      </w:r>
      <w:r>
        <w:rPr>
          <w:rFonts w:ascii="楷体_GB2312" w:eastAsia="楷体_GB2312"/>
          <w:sz w:val="32"/>
          <w:szCs w:val="32"/>
        </w:rPr>
        <w:t>得分</w:t>
      </w:r>
      <w:r>
        <w:rPr>
          <w:rFonts w:hint="eastAsia" w:ascii="楷体_GB2312" w:eastAsia="楷体_GB2312"/>
          <w:sz w:val="32"/>
          <w:szCs w:val="32"/>
        </w:rPr>
        <w:t>情况</w:t>
      </w:r>
    </w:p>
    <w:p w14:paraId="0B95A5CD">
      <w:pPr>
        <w:spacing w:line="600" w:lineRule="exact"/>
        <w:ind w:left="105" w:leftChars="50" w:firstLine="480" w:firstLineChars="150"/>
        <w:outlineLvl w:val="0"/>
        <w:rPr>
          <w:rFonts w:ascii="楷体_GB2312" w:eastAsia="仿宋_GB2312"/>
          <w:b/>
          <w:bCs/>
          <w:sz w:val="32"/>
          <w:szCs w:val="32"/>
        </w:rPr>
      </w:pPr>
      <w:r>
        <w:rPr>
          <w:rFonts w:hint="eastAsia" w:ascii="仿宋_GB2312" w:hAnsi="宋体" w:eastAsia="仿宋_GB2312" w:cs="宋体"/>
          <w:color w:val="000000"/>
          <w:kern w:val="0"/>
          <w:sz w:val="32"/>
          <w:szCs w:val="32"/>
        </w:rPr>
        <w:t>2024年度</w:t>
      </w:r>
      <w:r>
        <w:rPr>
          <w:rFonts w:hint="eastAsia" w:ascii="仿宋_GB2312" w:hAnsi="仿宋" w:eastAsia="仿宋_GB2312"/>
          <w:sz w:val="32"/>
          <w:szCs w:val="32"/>
        </w:rPr>
        <w:t>本部门</w:t>
      </w:r>
      <w:r>
        <w:rPr>
          <w:rFonts w:hint="eastAsia" w:ascii="仿宋_GB2312" w:hAnsi="宋体" w:eastAsia="仿宋_GB2312" w:cs="宋体"/>
          <w:color w:val="000000"/>
          <w:kern w:val="0"/>
          <w:sz w:val="32"/>
          <w:szCs w:val="32"/>
        </w:rPr>
        <w:t>整体支出绩效评价综合得分99.47分，绩效自评项目数量28个，完成度100%</w:t>
      </w:r>
      <w:r>
        <w:rPr>
          <w:rFonts w:ascii="楷体_GB2312" w:eastAsia="仿宋_GB2312"/>
          <w:b/>
          <w:bCs/>
          <w:sz w:val="32"/>
          <w:szCs w:val="32"/>
        </w:rPr>
        <w:t xml:space="preserve"> </w:t>
      </w:r>
      <w:r>
        <w:rPr>
          <w:rFonts w:hint="eastAsia" w:ascii="楷体_GB2312" w:eastAsia="仿宋_GB2312"/>
          <w:b/>
          <w:bCs/>
          <w:sz w:val="32"/>
          <w:szCs w:val="32"/>
        </w:rPr>
        <w:t>，</w:t>
      </w:r>
      <w:r>
        <w:rPr>
          <w:rFonts w:hint="eastAsia" w:ascii="楷体_GB2312" w:eastAsia="仿宋_GB2312"/>
          <w:bCs/>
          <w:sz w:val="32"/>
          <w:szCs w:val="32"/>
        </w:rPr>
        <w:t>自评项目财政资金利用率</w:t>
      </w:r>
      <w:r>
        <w:rPr>
          <w:rFonts w:hint="eastAsia" w:ascii="仿宋_GB2312" w:hAnsi="宋体" w:eastAsia="仿宋_GB2312" w:cs="宋体"/>
          <w:color w:val="000000"/>
          <w:kern w:val="0"/>
          <w:sz w:val="32"/>
          <w:szCs w:val="32"/>
        </w:rPr>
        <w:t>达88.71%，基本完成财政资金效益最大化。</w:t>
      </w:r>
    </w:p>
    <w:p w14:paraId="453B0478">
      <w:pPr>
        <w:spacing w:line="600" w:lineRule="exact"/>
        <w:ind w:firstLine="640" w:firstLineChars="200"/>
        <w:outlineLvl w:val="0"/>
        <w:rPr>
          <w:rFonts w:ascii="黑体" w:hAnsi="黑体" w:eastAsia="黑体" w:cs="宋体"/>
          <w:color w:val="000000"/>
          <w:kern w:val="0"/>
          <w:sz w:val="32"/>
          <w:szCs w:val="32"/>
        </w:rPr>
      </w:pPr>
      <w:r>
        <w:rPr>
          <w:rFonts w:hint="eastAsia" w:ascii="黑体" w:hAnsi="黑体" w:eastAsia="黑体" w:cs="宋体"/>
          <w:color w:val="000000"/>
          <w:kern w:val="0"/>
          <w:sz w:val="32"/>
          <w:szCs w:val="32"/>
        </w:rPr>
        <w:t>五、存在的问题及原因分析</w:t>
      </w:r>
    </w:p>
    <w:p w14:paraId="63BB4F37">
      <w:pPr>
        <w:spacing w:line="600" w:lineRule="exact"/>
        <w:ind w:firstLine="640" w:firstLineChars="200"/>
        <w:outlineLvl w:val="0"/>
        <w:rPr>
          <w:rFonts w:ascii="黑体" w:hAnsi="黑体" w:eastAsia="黑体" w:cs="宋体"/>
          <w:color w:val="000000"/>
          <w:kern w:val="0"/>
          <w:sz w:val="32"/>
          <w:szCs w:val="32"/>
        </w:rPr>
      </w:pPr>
      <w:r>
        <w:rPr>
          <w:rFonts w:hint="eastAsia" w:ascii="仿宋_GB2312" w:hAnsi="仿宋_GB2312" w:eastAsia="仿宋_GB2312" w:cs="仿宋_GB2312"/>
          <w:sz w:val="32"/>
          <w:szCs w:val="32"/>
        </w:rPr>
        <w:t>部门总体绩效目标申报表填报不够细化，部门产出和效果指标设置量化程度不够，后续的可考量性不足。</w:t>
      </w:r>
    </w:p>
    <w:p w14:paraId="07F6128F">
      <w:pPr>
        <w:spacing w:line="600" w:lineRule="exact"/>
        <w:ind w:firstLine="640" w:firstLineChars="200"/>
        <w:outlineLvl w:val="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六、措施建议</w:t>
      </w:r>
    </w:p>
    <w:p w14:paraId="7B5BCB3B">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进一步科学、合理、规范地确定部门绩效目标，以部门的职能定位和年度工作任务作为切入点，全面反映部门绩效，并将各相关职能或工作内容反映在分项指标中，细化、量化绩效指标，增加可考量性，提升各项指标的可考量</w:t>
      </w:r>
      <w:bookmarkStart w:id="0" w:name="_GoBack"/>
      <w:bookmarkEnd w:id="0"/>
      <w:r>
        <w:rPr>
          <w:rFonts w:hint="eastAsia" w:ascii="仿宋_GB2312" w:hAnsi="宋体" w:eastAsia="仿宋_GB2312" w:cs="宋体"/>
          <w:color w:val="000000"/>
          <w:kern w:val="0"/>
          <w:sz w:val="32"/>
          <w:szCs w:val="32"/>
        </w:rPr>
        <w:t>性和完整</w:t>
      </w:r>
      <w:r>
        <w:rPr>
          <w:rFonts w:hint="eastAsia" w:ascii="仿宋_GB2312" w:hAnsi="宋体" w:eastAsia="仿宋_GB2312" w:cs="宋体"/>
          <w:color w:val="000000"/>
          <w:kern w:val="0"/>
          <w:sz w:val="32"/>
          <w:szCs w:val="32"/>
          <w:lang w:eastAsia="zh-CN"/>
        </w:rPr>
        <w:t>性</w:t>
      </w:r>
      <w:r>
        <w:rPr>
          <w:rFonts w:hint="eastAsia" w:ascii="仿宋_GB2312" w:hAnsi="宋体" w:eastAsia="仿宋_GB2312" w:cs="宋体"/>
          <w:color w:val="000000"/>
          <w:kern w:val="0"/>
          <w:sz w:val="32"/>
          <w:szCs w:val="32"/>
        </w:rPr>
        <w:t>。</w:t>
      </w:r>
    </w:p>
    <w:sectPr>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DB822">
    <w:pPr>
      <w:pStyle w:val="3"/>
      <w:jc w:val="right"/>
      <w:rPr>
        <w:rFonts w:ascii="宋体" w:hAnsi="宋体"/>
        <w:sz w:val="28"/>
        <w:szCs w:val="28"/>
      </w:rPr>
    </w:pPr>
  </w:p>
  <w:p w14:paraId="79948BA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1805B">
    <w:pPr>
      <w:pStyle w:val="3"/>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14:paraId="219C0530">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84hJ9EAAAADAQAADwAAAAAAAAABACAAAAAiAAAA&#10;ZHJzL2Rvd25yZXYueG1sUEsBAhQAFAAAAAgAh07iQIddJO4OAgAAEAQAAA4AAAAAAAAAAQAgAAAA&#10;IAEAAGRycy9lMm9Eb2MueG1sUEsFBgAAAAAGAAYAWQEAAKAFAAAAAA==&#10;">
              <v:fill on="f" focussize="0,0"/>
              <v:stroke on="f"/>
              <v:imagedata o:title=""/>
              <o:lock v:ext="edit" aspectratio="f"/>
              <v:textbox inset="0mm,0mm,0mm,0mm" style="mso-fit-shape-to-text:t;">
                <w:txbxContent>
                  <w:p w14:paraId="219C0530">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p w14:paraId="5499EE4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520570"/>
    <w:multiLevelType w:val="multilevel"/>
    <w:tmpl w:val="6B52057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99"/>
    <w:rsid w:val="00004A14"/>
    <w:rsid w:val="000061BD"/>
    <w:rsid w:val="00006A38"/>
    <w:rsid w:val="00011F36"/>
    <w:rsid w:val="00023EEF"/>
    <w:rsid w:val="00025767"/>
    <w:rsid w:val="000268BE"/>
    <w:rsid w:val="0003250D"/>
    <w:rsid w:val="00052B32"/>
    <w:rsid w:val="000552A8"/>
    <w:rsid w:val="00055EEA"/>
    <w:rsid w:val="00055FD9"/>
    <w:rsid w:val="000610C6"/>
    <w:rsid w:val="00065297"/>
    <w:rsid w:val="000815EC"/>
    <w:rsid w:val="00084C7C"/>
    <w:rsid w:val="000930A9"/>
    <w:rsid w:val="00094E5A"/>
    <w:rsid w:val="000A1A3F"/>
    <w:rsid w:val="000B1179"/>
    <w:rsid w:val="000B2265"/>
    <w:rsid w:val="000B5D63"/>
    <w:rsid w:val="000D0A42"/>
    <w:rsid w:val="000D7ABF"/>
    <w:rsid w:val="000E416C"/>
    <w:rsid w:val="000F4E57"/>
    <w:rsid w:val="000F6332"/>
    <w:rsid w:val="00122DA4"/>
    <w:rsid w:val="00123F16"/>
    <w:rsid w:val="00134EDB"/>
    <w:rsid w:val="00144B41"/>
    <w:rsid w:val="0015217D"/>
    <w:rsid w:val="00164F88"/>
    <w:rsid w:val="001832BB"/>
    <w:rsid w:val="00184A36"/>
    <w:rsid w:val="001904D9"/>
    <w:rsid w:val="001910EC"/>
    <w:rsid w:val="00196AF0"/>
    <w:rsid w:val="001A13FC"/>
    <w:rsid w:val="001C5313"/>
    <w:rsid w:val="001D0A43"/>
    <w:rsid w:val="001D4056"/>
    <w:rsid w:val="001E7E30"/>
    <w:rsid w:val="001F08F3"/>
    <w:rsid w:val="001F300A"/>
    <w:rsid w:val="001F3B7A"/>
    <w:rsid w:val="001F4755"/>
    <w:rsid w:val="00205F4C"/>
    <w:rsid w:val="0021195A"/>
    <w:rsid w:val="00230A9A"/>
    <w:rsid w:val="002415E7"/>
    <w:rsid w:val="00245738"/>
    <w:rsid w:val="0025738D"/>
    <w:rsid w:val="00260B79"/>
    <w:rsid w:val="00261CD8"/>
    <w:rsid w:val="00272E5D"/>
    <w:rsid w:val="00273EB7"/>
    <w:rsid w:val="002769B4"/>
    <w:rsid w:val="00277CDD"/>
    <w:rsid w:val="0028404F"/>
    <w:rsid w:val="00290751"/>
    <w:rsid w:val="002946E9"/>
    <w:rsid w:val="002A58EB"/>
    <w:rsid w:val="002D3BC3"/>
    <w:rsid w:val="002D5FB6"/>
    <w:rsid w:val="002D61E2"/>
    <w:rsid w:val="002D6FE5"/>
    <w:rsid w:val="002D7F85"/>
    <w:rsid w:val="002F01F8"/>
    <w:rsid w:val="002F025F"/>
    <w:rsid w:val="0030393D"/>
    <w:rsid w:val="00313AB6"/>
    <w:rsid w:val="00324E58"/>
    <w:rsid w:val="003343A5"/>
    <w:rsid w:val="00337028"/>
    <w:rsid w:val="00337399"/>
    <w:rsid w:val="00344209"/>
    <w:rsid w:val="003522B0"/>
    <w:rsid w:val="00357218"/>
    <w:rsid w:val="0036280C"/>
    <w:rsid w:val="00373C10"/>
    <w:rsid w:val="00380C93"/>
    <w:rsid w:val="00382071"/>
    <w:rsid w:val="00384959"/>
    <w:rsid w:val="00390929"/>
    <w:rsid w:val="00391339"/>
    <w:rsid w:val="00397C6F"/>
    <w:rsid w:val="003A1F3E"/>
    <w:rsid w:val="003B161B"/>
    <w:rsid w:val="003B7D88"/>
    <w:rsid w:val="003C721A"/>
    <w:rsid w:val="003D0A72"/>
    <w:rsid w:val="003E0D68"/>
    <w:rsid w:val="003E2632"/>
    <w:rsid w:val="003E4B4D"/>
    <w:rsid w:val="003E6B2B"/>
    <w:rsid w:val="003F07BA"/>
    <w:rsid w:val="003F78B0"/>
    <w:rsid w:val="00400E25"/>
    <w:rsid w:val="00401558"/>
    <w:rsid w:val="004067ED"/>
    <w:rsid w:val="00406E13"/>
    <w:rsid w:val="00410C3F"/>
    <w:rsid w:val="00444EA0"/>
    <w:rsid w:val="00447B14"/>
    <w:rsid w:val="0045062D"/>
    <w:rsid w:val="0046114E"/>
    <w:rsid w:val="00467E84"/>
    <w:rsid w:val="0047116B"/>
    <w:rsid w:val="0047448E"/>
    <w:rsid w:val="004857CC"/>
    <w:rsid w:val="004867FC"/>
    <w:rsid w:val="00492066"/>
    <w:rsid w:val="0049385F"/>
    <w:rsid w:val="00495BFD"/>
    <w:rsid w:val="00495F0A"/>
    <w:rsid w:val="004A4A7D"/>
    <w:rsid w:val="004B06A9"/>
    <w:rsid w:val="004C2BE1"/>
    <w:rsid w:val="004C5B59"/>
    <w:rsid w:val="004D5385"/>
    <w:rsid w:val="004D7A5C"/>
    <w:rsid w:val="004E2A17"/>
    <w:rsid w:val="004F4AC9"/>
    <w:rsid w:val="00503847"/>
    <w:rsid w:val="005172EA"/>
    <w:rsid w:val="00522D76"/>
    <w:rsid w:val="00535B6A"/>
    <w:rsid w:val="0056180F"/>
    <w:rsid w:val="005651F8"/>
    <w:rsid w:val="0056540B"/>
    <w:rsid w:val="005750E2"/>
    <w:rsid w:val="00580CDD"/>
    <w:rsid w:val="005919A9"/>
    <w:rsid w:val="00597282"/>
    <w:rsid w:val="005A1AF8"/>
    <w:rsid w:val="005A3838"/>
    <w:rsid w:val="005A764F"/>
    <w:rsid w:val="005B1524"/>
    <w:rsid w:val="005B43A1"/>
    <w:rsid w:val="005C493F"/>
    <w:rsid w:val="005D59C4"/>
    <w:rsid w:val="005E501F"/>
    <w:rsid w:val="005F5C72"/>
    <w:rsid w:val="005F6C30"/>
    <w:rsid w:val="005F6EAF"/>
    <w:rsid w:val="00613ED5"/>
    <w:rsid w:val="0061766E"/>
    <w:rsid w:val="0062582E"/>
    <w:rsid w:val="00635C96"/>
    <w:rsid w:val="00642A20"/>
    <w:rsid w:val="00645422"/>
    <w:rsid w:val="00651673"/>
    <w:rsid w:val="00667B0E"/>
    <w:rsid w:val="00684A82"/>
    <w:rsid w:val="006A32B2"/>
    <w:rsid w:val="006A5857"/>
    <w:rsid w:val="006A63AF"/>
    <w:rsid w:val="006A66C7"/>
    <w:rsid w:val="006C3835"/>
    <w:rsid w:val="006D022C"/>
    <w:rsid w:val="006D13F3"/>
    <w:rsid w:val="006D7387"/>
    <w:rsid w:val="006E387C"/>
    <w:rsid w:val="006F41A2"/>
    <w:rsid w:val="006F53DE"/>
    <w:rsid w:val="00706988"/>
    <w:rsid w:val="00713E3E"/>
    <w:rsid w:val="00741238"/>
    <w:rsid w:val="00754992"/>
    <w:rsid w:val="00756822"/>
    <w:rsid w:val="0076622C"/>
    <w:rsid w:val="00767656"/>
    <w:rsid w:val="00780D29"/>
    <w:rsid w:val="007815A9"/>
    <w:rsid w:val="00790C5E"/>
    <w:rsid w:val="007944F0"/>
    <w:rsid w:val="00795911"/>
    <w:rsid w:val="007A0226"/>
    <w:rsid w:val="007A407B"/>
    <w:rsid w:val="007A416B"/>
    <w:rsid w:val="007B3523"/>
    <w:rsid w:val="007B39D3"/>
    <w:rsid w:val="007B63A1"/>
    <w:rsid w:val="007C5235"/>
    <w:rsid w:val="007D67A2"/>
    <w:rsid w:val="007E52C2"/>
    <w:rsid w:val="007F3039"/>
    <w:rsid w:val="007F3153"/>
    <w:rsid w:val="007F35F8"/>
    <w:rsid w:val="008358A1"/>
    <w:rsid w:val="0084228D"/>
    <w:rsid w:val="00843195"/>
    <w:rsid w:val="00843F03"/>
    <w:rsid w:val="008500B9"/>
    <w:rsid w:val="008541BA"/>
    <w:rsid w:val="00856041"/>
    <w:rsid w:val="008663B9"/>
    <w:rsid w:val="008678E8"/>
    <w:rsid w:val="00876216"/>
    <w:rsid w:val="00877EF4"/>
    <w:rsid w:val="008901D7"/>
    <w:rsid w:val="00892783"/>
    <w:rsid w:val="008A15B0"/>
    <w:rsid w:val="008B2908"/>
    <w:rsid w:val="008B5CD3"/>
    <w:rsid w:val="008B6CF5"/>
    <w:rsid w:val="008C56F8"/>
    <w:rsid w:val="008D16D7"/>
    <w:rsid w:val="008D3985"/>
    <w:rsid w:val="008D4253"/>
    <w:rsid w:val="008D59A1"/>
    <w:rsid w:val="008D5D4E"/>
    <w:rsid w:val="008E46E5"/>
    <w:rsid w:val="008F1B95"/>
    <w:rsid w:val="009034C6"/>
    <w:rsid w:val="00922E43"/>
    <w:rsid w:val="00926926"/>
    <w:rsid w:val="00953E5F"/>
    <w:rsid w:val="0095710C"/>
    <w:rsid w:val="00957439"/>
    <w:rsid w:val="00961E63"/>
    <w:rsid w:val="00964240"/>
    <w:rsid w:val="00966C66"/>
    <w:rsid w:val="00970164"/>
    <w:rsid w:val="00973D3B"/>
    <w:rsid w:val="00974A9C"/>
    <w:rsid w:val="00976264"/>
    <w:rsid w:val="009A3B83"/>
    <w:rsid w:val="009A3BDE"/>
    <w:rsid w:val="009A5C42"/>
    <w:rsid w:val="009B2938"/>
    <w:rsid w:val="009B7C88"/>
    <w:rsid w:val="009C2DAD"/>
    <w:rsid w:val="009C30AD"/>
    <w:rsid w:val="009C78B0"/>
    <w:rsid w:val="009D71E5"/>
    <w:rsid w:val="009E0388"/>
    <w:rsid w:val="009E7C5D"/>
    <w:rsid w:val="009F639E"/>
    <w:rsid w:val="009F7924"/>
    <w:rsid w:val="00A30F44"/>
    <w:rsid w:val="00A352CB"/>
    <w:rsid w:val="00A42DD4"/>
    <w:rsid w:val="00A5388B"/>
    <w:rsid w:val="00A62313"/>
    <w:rsid w:val="00A73FDD"/>
    <w:rsid w:val="00A758E7"/>
    <w:rsid w:val="00A82A85"/>
    <w:rsid w:val="00A96892"/>
    <w:rsid w:val="00AA1448"/>
    <w:rsid w:val="00AA502A"/>
    <w:rsid w:val="00AB1869"/>
    <w:rsid w:val="00AB201F"/>
    <w:rsid w:val="00AE169D"/>
    <w:rsid w:val="00AE3A83"/>
    <w:rsid w:val="00AF4774"/>
    <w:rsid w:val="00B025E6"/>
    <w:rsid w:val="00B03C50"/>
    <w:rsid w:val="00B10DC7"/>
    <w:rsid w:val="00B1214D"/>
    <w:rsid w:val="00B17CFD"/>
    <w:rsid w:val="00B42DF7"/>
    <w:rsid w:val="00B50782"/>
    <w:rsid w:val="00B52BFD"/>
    <w:rsid w:val="00B66D95"/>
    <w:rsid w:val="00B73B97"/>
    <w:rsid w:val="00B835C9"/>
    <w:rsid w:val="00B901B9"/>
    <w:rsid w:val="00B95F81"/>
    <w:rsid w:val="00BA6752"/>
    <w:rsid w:val="00BB02DD"/>
    <w:rsid w:val="00BB4078"/>
    <w:rsid w:val="00BB419E"/>
    <w:rsid w:val="00BB7D9A"/>
    <w:rsid w:val="00BC0B04"/>
    <w:rsid w:val="00BC6359"/>
    <w:rsid w:val="00BC6D7A"/>
    <w:rsid w:val="00BD72BA"/>
    <w:rsid w:val="00BE173E"/>
    <w:rsid w:val="00BE3855"/>
    <w:rsid w:val="00BF0FB5"/>
    <w:rsid w:val="00BF0FE4"/>
    <w:rsid w:val="00BF216E"/>
    <w:rsid w:val="00BF7820"/>
    <w:rsid w:val="00C12515"/>
    <w:rsid w:val="00C14FF5"/>
    <w:rsid w:val="00C27467"/>
    <w:rsid w:val="00C33D61"/>
    <w:rsid w:val="00C4072E"/>
    <w:rsid w:val="00C422A2"/>
    <w:rsid w:val="00C60612"/>
    <w:rsid w:val="00C607AE"/>
    <w:rsid w:val="00C62894"/>
    <w:rsid w:val="00C64ED0"/>
    <w:rsid w:val="00C76A1F"/>
    <w:rsid w:val="00C80CFA"/>
    <w:rsid w:val="00C812D6"/>
    <w:rsid w:val="00C8206C"/>
    <w:rsid w:val="00C852A7"/>
    <w:rsid w:val="00CA2773"/>
    <w:rsid w:val="00CC189D"/>
    <w:rsid w:val="00CE2981"/>
    <w:rsid w:val="00CE39FA"/>
    <w:rsid w:val="00CE3C03"/>
    <w:rsid w:val="00D00298"/>
    <w:rsid w:val="00D16FAE"/>
    <w:rsid w:val="00D22DE4"/>
    <w:rsid w:val="00D323E7"/>
    <w:rsid w:val="00D3629A"/>
    <w:rsid w:val="00D36F6A"/>
    <w:rsid w:val="00D450E7"/>
    <w:rsid w:val="00D57BFD"/>
    <w:rsid w:val="00D57F87"/>
    <w:rsid w:val="00D64A28"/>
    <w:rsid w:val="00D6646A"/>
    <w:rsid w:val="00D7246C"/>
    <w:rsid w:val="00D80C59"/>
    <w:rsid w:val="00D81B32"/>
    <w:rsid w:val="00D92367"/>
    <w:rsid w:val="00D93089"/>
    <w:rsid w:val="00D94528"/>
    <w:rsid w:val="00DA285C"/>
    <w:rsid w:val="00DA6248"/>
    <w:rsid w:val="00DB1B43"/>
    <w:rsid w:val="00DC6635"/>
    <w:rsid w:val="00DD5A78"/>
    <w:rsid w:val="00DE288D"/>
    <w:rsid w:val="00DE362B"/>
    <w:rsid w:val="00DE497F"/>
    <w:rsid w:val="00DF5986"/>
    <w:rsid w:val="00DF5D28"/>
    <w:rsid w:val="00E0135D"/>
    <w:rsid w:val="00E34DFA"/>
    <w:rsid w:val="00E42C8A"/>
    <w:rsid w:val="00E57396"/>
    <w:rsid w:val="00E57410"/>
    <w:rsid w:val="00E579E8"/>
    <w:rsid w:val="00E661EF"/>
    <w:rsid w:val="00E66E77"/>
    <w:rsid w:val="00E74B5F"/>
    <w:rsid w:val="00E813CD"/>
    <w:rsid w:val="00E83DD8"/>
    <w:rsid w:val="00E868C1"/>
    <w:rsid w:val="00EB0257"/>
    <w:rsid w:val="00EB09CF"/>
    <w:rsid w:val="00EB495B"/>
    <w:rsid w:val="00EB4F31"/>
    <w:rsid w:val="00EB75A0"/>
    <w:rsid w:val="00EC0CB0"/>
    <w:rsid w:val="00EC3CB1"/>
    <w:rsid w:val="00ED1826"/>
    <w:rsid w:val="00ED27B7"/>
    <w:rsid w:val="00ED3CC4"/>
    <w:rsid w:val="00ED4C8C"/>
    <w:rsid w:val="00EF3150"/>
    <w:rsid w:val="00EF4F70"/>
    <w:rsid w:val="00F0139B"/>
    <w:rsid w:val="00F02897"/>
    <w:rsid w:val="00F26784"/>
    <w:rsid w:val="00F279B9"/>
    <w:rsid w:val="00F311AD"/>
    <w:rsid w:val="00F31F83"/>
    <w:rsid w:val="00F541F1"/>
    <w:rsid w:val="00F568A0"/>
    <w:rsid w:val="00F6059B"/>
    <w:rsid w:val="00F646FD"/>
    <w:rsid w:val="00F71D09"/>
    <w:rsid w:val="00F7436B"/>
    <w:rsid w:val="00F767A1"/>
    <w:rsid w:val="00F95149"/>
    <w:rsid w:val="00F972BD"/>
    <w:rsid w:val="00FB5AD6"/>
    <w:rsid w:val="00FB6603"/>
    <w:rsid w:val="00FB75A9"/>
    <w:rsid w:val="00FC13C9"/>
    <w:rsid w:val="00FC1C81"/>
    <w:rsid w:val="00FD3667"/>
    <w:rsid w:val="00FD3D4E"/>
    <w:rsid w:val="00FD51DB"/>
    <w:rsid w:val="00FE0D3E"/>
    <w:rsid w:val="00FE4237"/>
    <w:rsid w:val="00FE7F24"/>
    <w:rsid w:val="00FF11E7"/>
    <w:rsid w:val="00FF18BC"/>
    <w:rsid w:val="42163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footer"/>
    <w:link w:val="7"/>
    <w:qFormat/>
    <w:uiPriority w:val="0"/>
    <w:pPr>
      <w:widowControl w:val="0"/>
      <w:tabs>
        <w:tab w:val="center" w:pos="4153"/>
        <w:tab w:val="right" w:pos="8306"/>
      </w:tabs>
      <w:snapToGrid w:val="0"/>
    </w:pPr>
    <w:rPr>
      <w:rFonts w:ascii="Times New Roman" w:hAnsi="Times New Roman" w:eastAsia="宋体" w:cs="Times New Roman"/>
      <w:kern w:val="2"/>
      <w:sz w:val="18"/>
      <w:szCs w:val="20"/>
      <w:lang w:val="en-US" w:eastAsia="zh-CN" w:bidi="ar-SA"/>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宋体" w:cs="Times New Roman"/>
      <w:sz w:val="18"/>
      <w:szCs w:val="20"/>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2431</Words>
  <Characters>2568</Characters>
  <Lines>18</Lines>
  <Paragraphs>5</Paragraphs>
  <TotalTime>48</TotalTime>
  <ScaleCrop>false</ScaleCrop>
  <LinksUpToDate>false</LinksUpToDate>
  <CharactersWithSpaces>2570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2025-02-10T00:56:00Z</dcterms:created>
  <dc:creator>tscz</dc:creator>
  <cp:lastModifiedBy>青西</cp:lastModifiedBy>
  <dcterms:modified xsi:type="dcterms:W3CDTF">2026-02-02T09:29:54Z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eyJoZGlkIjoiMmRjNjBhNTNlOTNmYTVmNWEwZjU2M2Y0MzZhZTI1MDEiLCJ1c2VySWQiOiI5MDQxNTcwODIifQ==</vt:lpwstr>
  </property>
  <property fmtid="{D5CDD505-2E9C-101B-9397-08002B2CF9AE}" pid="3" name="KSOProductBuildVer">
    <vt:lpwstr>2052-12.1.0.24657</vt:lpwstr>
  </property>
  <property fmtid="{D5CDD505-2E9C-101B-9397-08002B2CF9AE}" pid="4" name="ICV">
    <vt:lpwstr>DE21D59C14C8428D83EE19765C6DC3A8_12</vt:lpwstr>
  </property>
</Properties>
</file>